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snapToGrid/>
        <w:spacing w:before="0" w:after="0" w:line="360" w:lineRule="auto"/>
        <w:ind w:left="0" w:leftChars="0"/>
        <w:jc w:val="center"/>
        <w:textAlignment w:val="auto"/>
        <w:outlineLvl w:val="9"/>
        <w:rPr>
          <w:rFonts w:hint="eastAsia" w:asciiTheme="minorEastAsia" w:hAnsiTheme="minorEastAsia" w:eastAsiaTheme="minorEastAsia" w:cstheme="minorEastAsia"/>
          <w:b/>
          <w:bCs/>
          <w:color w:val="auto"/>
          <w:sz w:val="52"/>
          <w:szCs w:val="52"/>
          <w:lang w:eastAsia="zh-CN"/>
        </w:rPr>
      </w:pPr>
      <w:r>
        <w:rPr>
          <w:rFonts w:hint="eastAsia" w:asciiTheme="minorEastAsia" w:hAnsiTheme="minorEastAsia" w:eastAsiaTheme="minorEastAsia" w:cstheme="minorEastAsia"/>
          <w:b/>
          <w:bCs/>
          <w:color w:val="auto"/>
          <w:sz w:val="52"/>
          <w:szCs w:val="52"/>
          <w:lang w:eastAsia="zh-CN"/>
        </w:rPr>
        <w:t>重庆市开州区白水村黄金河</w:t>
      </w:r>
    </w:p>
    <w:p>
      <w:pPr>
        <w:keepNext/>
        <w:keepLines/>
        <w:pageBreakBefore w:val="0"/>
        <w:widowControl w:val="0"/>
        <w:kinsoku/>
        <w:wordWrap/>
        <w:overflowPunct/>
        <w:topLinePunct w:val="0"/>
        <w:autoSpaceDE/>
        <w:autoSpaceDN/>
        <w:bidi w:val="0"/>
        <w:adjustRightInd/>
        <w:snapToGrid/>
        <w:spacing w:before="0" w:after="0" w:line="360" w:lineRule="auto"/>
        <w:ind w:left="0" w:leftChars="0"/>
        <w:jc w:val="center"/>
        <w:textAlignment w:val="auto"/>
        <w:outlineLvl w:val="9"/>
        <w:rPr>
          <w:rFonts w:hint="eastAsia" w:asciiTheme="minorEastAsia" w:hAnsiTheme="minorEastAsia" w:eastAsiaTheme="minorEastAsia" w:cstheme="minorEastAsia"/>
          <w:b/>
          <w:bCs/>
          <w:color w:val="auto"/>
          <w:sz w:val="52"/>
          <w:szCs w:val="52"/>
          <w:lang w:val="en-US" w:eastAsia="zh-CN"/>
        </w:rPr>
      </w:pPr>
      <w:r>
        <w:rPr>
          <w:rFonts w:hint="eastAsia" w:asciiTheme="minorEastAsia" w:hAnsiTheme="minorEastAsia" w:eastAsiaTheme="minorEastAsia" w:cstheme="minorEastAsia"/>
          <w:b/>
          <w:bCs/>
          <w:color w:val="auto"/>
          <w:sz w:val="52"/>
          <w:szCs w:val="52"/>
          <w:lang w:val="en-US" w:eastAsia="zh-CN"/>
        </w:rPr>
        <w:t>集中式地表水饮用水水源地</w:t>
      </w:r>
    </w:p>
    <w:p>
      <w:pPr>
        <w:keepNext/>
        <w:keepLines/>
        <w:pageBreakBefore w:val="0"/>
        <w:widowControl w:val="0"/>
        <w:kinsoku/>
        <w:wordWrap/>
        <w:overflowPunct/>
        <w:topLinePunct w:val="0"/>
        <w:autoSpaceDE/>
        <w:autoSpaceDN/>
        <w:bidi w:val="0"/>
        <w:adjustRightInd/>
        <w:snapToGrid/>
        <w:spacing w:before="0" w:after="0" w:line="360" w:lineRule="auto"/>
        <w:ind w:left="0" w:leftChars="0"/>
        <w:jc w:val="center"/>
        <w:textAlignment w:val="auto"/>
        <w:outlineLvl w:val="9"/>
        <w:rPr>
          <w:rFonts w:hint="eastAsia" w:asciiTheme="minorEastAsia" w:hAnsiTheme="minorEastAsia" w:eastAsiaTheme="minorEastAsia" w:cstheme="minorEastAsia"/>
          <w:b/>
          <w:bCs/>
          <w:color w:val="auto"/>
          <w:sz w:val="52"/>
          <w:szCs w:val="52"/>
        </w:rPr>
      </w:pPr>
      <w:r>
        <w:rPr>
          <w:rFonts w:hint="eastAsia" w:asciiTheme="minorEastAsia" w:hAnsiTheme="minorEastAsia" w:eastAsiaTheme="minorEastAsia" w:cstheme="minorEastAsia"/>
          <w:b/>
          <w:bCs/>
          <w:color w:val="auto"/>
          <w:sz w:val="52"/>
          <w:szCs w:val="52"/>
        </w:rPr>
        <w:t>突发环境事件应急预案</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rPr>
        <w:t xml:space="preserve">                预案编号：</w:t>
      </w:r>
      <w:r>
        <w:rPr>
          <w:rFonts w:hint="eastAsia" w:asciiTheme="minorEastAsia" w:hAnsiTheme="minorEastAsia" w:eastAsiaTheme="minorEastAsia" w:cstheme="minorEastAsia"/>
          <w:color w:val="auto"/>
          <w:sz w:val="28"/>
          <w:szCs w:val="28"/>
          <w:lang w:val="en-US" w:eastAsia="zh-CN"/>
        </w:rPr>
        <w:t xml:space="preserve">ZHZYYSYD 2022-2       </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 xml:space="preserve">                版 本 号：</w:t>
      </w:r>
      <w:r>
        <w:rPr>
          <w:rFonts w:hint="eastAsia" w:asciiTheme="minorEastAsia" w:hAnsiTheme="minorEastAsia" w:eastAsiaTheme="minorEastAsia" w:cstheme="minorEastAsia"/>
          <w:color w:val="auto"/>
          <w:sz w:val="28"/>
          <w:szCs w:val="28"/>
          <w:lang w:val="en-US" w:eastAsia="zh-CN"/>
        </w:rPr>
        <w:t>2022-2</w:t>
      </w:r>
      <w:r>
        <w:rPr>
          <w:rFonts w:hint="eastAsia" w:asciiTheme="minorEastAsia" w:hAnsiTheme="minorEastAsia" w:eastAsiaTheme="minorEastAsia" w:cstheme="minorEastAsia"/>
          <w:color w:val="auto"/>
          <w:sz w:val="28"/>
          <w:szCs w:val="28"/>
        </w:rPr>
        <w:t xml:space="preserve">  </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default" w:asciiTheme="minorEastAsia" w:hAnsiTheme="minorEastAsia" w:eastAsiaTheme="minorEastAsia" w:cstheme="minorEastAsia"/>
          <w:color w:val="auto"/>
          <w:sz w:val="28"/>
          <w:szCs w:val="28"/>
          <w:lang w:val="en-US"/>
        </w:rPr>
      </w:pPr>
      <w:r>
        <w:rPr>
          <w:rFonts w:hint="eastAsia" w:asciiTheme="minorEastAsia" w:hAnsiTheme="minorEastAsia" w:eastAsiaTheme="minorEastAsia" w:cstheme="minorEastAsia"/>
          <w:color w:val="auto"/>
          <w:sz w:val="28"/>
          <w:szCs w:val="28"/>
          <w:lang w:val="en-US" w:eastAsia="zh-CN"/>
        </w:rPr>
        <w:t xml:space="preserve">               </w:t>
      </w:r>
      <w:r>
        <w:rPr>
          <w:rFonts w:hint="eastAsia" w:asciiTheme="minorEastAsia" w:hAnsiTheme="minorEastAsia" w:eastAsiaTheme="minorEastAsia" w:cstheme="minorEastAsia"/>
          <w:color w:val="auto"/>
          <w:sz w:val="28"/>
          <w:szCs w:val="28"/>
        </w:rPr>
        <w:t xml:space="preserve"> 颁布日期：</w:t>
      </w:r>
      <w:r>
        <w:rPr>
          <w:rFonts w:hint="eastAsia" w:asciiTheme="minorEastAsia" w:hAnsiTheme="minorEastAsia" w:eastAsiaTheme="minorEastAsia" w:cstheme="minorEastAsia"/>
          <w:color w:val="auto"/>
          <w:sz w:val="28"/>
          <w:szCs w:val="28"/>
          <w:lang w:val="en-US" w:eastAsia="zh-CN"/>
        </w:rPr>
        <w:t>2022年2月23日</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eastAsia="zh-CN"/>
        </w:rPr>
        <w:t>重庆市开州区中和镇</w:t>
      </w:r>
      <w:r>
        <w:rPr>
          <w:rFonts w:hint="eastAsia" w:asciiTheme="minorEastAsia" w:hAnsiTheme="minorEastAsia" w:eastAsiaTheme="minorEastAsia" w:cstheme="minorEastAsia"/>
          <w:b/>
          <w:bCs/>
          <w:color w:val="auto"/>
          <w:sz w:val="32"/>
          <w:szCs w:val="32"/>
          <w:lang w:val="en-US" w:eastAsia="zh-CN"/>
        </w:rPr>
        <w:t>人民政府</w:t>
      </w:r>
    </w:p>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b/>
          <w:bCs/>
          <w:color w:val="auto"/>
          <w:sz w:val="32"/>
          <w:szCs w:val="32"/>
        </w:rPr>
      </w:pPr>
      <w:r>
        <w:rPr>
          <w:rFonts w:hint="eastAsia" w:asciiTheme="minorEastAsia" w:hAnsiTheme="minorEastAsia" w:eastAsiaTheme="minorEastAsia" w:cstheme="minorEastAsia"/>
          <w:b/>
          <w:bCs/>
          <w:color w:val="auto"/>
          <w:sz w:val="32"/>
          <w:szCs w:val="32"/>
          <w:lang w:val="en-US" w:eastAsia="zh-CN"/>
        </w:rPr>
        <w:t>2022</w:t>
      </w:r>
      <w:r>
        <w:rPr>
          <w:rFonts w:hint="eastAsia" w:asciiTheme="minorEastAsia" w:hAnsiTheme="minorEastAsia" w:eastAsiaTheme="minorEastAsia" w:cstheme="minorEastAsia"/>
          <w:b/>
          <w:bCs/>
          <w:color w:val="auto"/>
          <w:sz w:val="32"/>
          <w:szCs w:val="32"/>
        </w:rPr>
        <w:t>年</w:t>
      </w:r>
      <w:r>
        <w:rPr>
          <w:rFonts w:hint="eastAsia" w:asciiTheme="minorEastAsia" w:hAnsiTheme="minorEastAsia" w:eastAsiaTheme="minorEastAsia" w:cstheme="minorEastAsia"/>
          <w:b/>
          <w:bCs/>
          <w:color w:val="auto"/>
          <w:sz w:val="32"/>
          <w:szCs w:val="32"/>
          <w:lang w:val="en-US" w:eastAsia="zh-CN"/>
        </w:rPr>
        <w:t>2</w:t>
      </w:r>
      <w:r>
        <w:rPr>
          <w:rFonts w:hint="eastAsia" w:asciiTheme="minorEastAsia" w:hAnsiTheme="minorEastAsia" w:eastAsiaTheme="minorEastAsia" w:cstheme="minorEastAsia"/>
          <w:b/>
          <w:bCs/>
          <w:color w:val="auto"/>
          <w:sz w:val="32"/>
          <w:szCs w:val="32"/>
        </w:rPr>
        <w:t>月</w:t>
      </w:r>
    </w:p>
    <w:p>
      <w:pPr>
        <w:rPr>
          <w:rFonts w:hint="eastAsia" w:asciiTheme="minorEastAsia" w:hAnsiTheme="minorEastAsia" w:eastAsiaTheme="minorEastAsia" w:cstheme="minorEastAsia"/>
          <w:b/>
          <w:bCs/>
          <w:color w:val="auto"/>
          <w:sz w:val="32"/>
          <w:szCs w:val="32"/>
        </w:rPr>
      </w:pPr>
      <w:r>
        <w:rPr>
          <w:rFonts w:hint="eastAsia" w:asciiTheme="minorEastAsia" w:hAnsiTheme="minorEastAsia" w:eastAsiaTheme="minorEastAsia" w:cstheme="minorEastAsia"/>
          <w:b/>
          <w:bCs/>
          <w:color w:val="auto"/>
          <w:sz w:val="32"/>
          <w:szCs w:val="32"/>
        </w:rPr>
        <w:br w:type="page"/>
      </w:r>
    </w:p>
    <w:p>
      <w:pPr>
        <w:rPr>
          <w:rFonts w:hint="eastAsia" w:asciiTheme="minorEastAsia" w:hAnsiTheme="minorEastAsia" w:eastAsiaTheme="minorEastAsia" w:cstheme="minorEastAsia"/>
          <w:b/>
          <w:bCs/>
          <w:color w:val="auto"/>
          <w:sz w:val="32"/>
          <w:szCs w:val="32"/>
        </w:rPr>
      </w:pPr>
      <w:r>
        <w:rPr>
          <w:rFonts w:hint="eastAsia" w:asciiTheme="minorEastAsia" w:hAnsiTheme="minorEastAsia" w:eastAsiaTheme="minorEastAsia" w:cstheme="minorEastAsia"/>
          <w:b/>
          <w:bCs/>
          <w:color w:val="auto"/>
          <w:sz w:val="32"/>
          <w:szCs w:val="32"/>
        </w:rPr>
        <w:br w:type="page"/>
      </w:r>
    </w:p>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b/>
          <w:bCs/>
          <w:color w:val="auto"/>
          <w:sz w:val="32"/>
          <w:szCs w:val="32"/>
        </w:rPr>
        <w:sectPr>
          <w:footerReference r:id="rId6" w:type="first"/>
          <w:headerReference r:id="rId3" w:type="default"/>
          <w:footerReference r:id="rId4" w:type="default"/>
          <w:footerReference r:id="rId5" w:type="even"/>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p>
    <w:p>
      <w:pPr>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br w:type="page"/>
      </w:r>
      <w:r>
        <w:rPr>
          <w:rFonts w:hint="eastAsia" w:asciiTheme="minorEastAsia" w:hAnsiTheme="minorEastAsia" w:eastAsiaTheme="minorEastAsia" w:cstheme="minorEastAsia"/>
          <w:color w:val="FF0000"/>
          <w:sz w:val="28"/>
          <w:szCs w:val="28"/>
          <w:lang w:eastAsia="zh-CN"/>
        </w:rPr>
        <w:drawing>
          <wp:anchor distT="0" distB="0" distL="114300" distR="114300" simplePos="0" relativeHeight="251673600" behindDoc="0" locked="0" layoutInCell="1" allowOverlap="1">
            <wp:simplePos x="0" y="0"/>
            <wp:positionH relativeFrom="column">
              <wp:posOffset>-494665</wp:posOffset>
            </wp:positionH>
            <wp:positionV relativeFrom="paragraph">
              <wp:posOffset>-385445</wp:posOffset>
            </wp:positionV>
            <wp:extent cx="6534785" cy="9242425"/>
            <wp:effectExtent l="0" t="0" r="18415" b="15875"/>
            <wp:wrapNone/>
            <wp:docPr id="22" name="图片 22" descr="发布令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发布令1"/>
                    <pic:cNvPicPr>
                      <a:picLocks noChangeAspect="1"/>
                    </pic:cNvPicPr>
                  </pic:nvPicPr>
                  <pic:blipFill>
                    <a:blip r:embed="rId15"/>
                    <a:stretch>
                      <a:fillRect/>
                    </a:stretch>
                  </pic:blipFill>
                  <pic:spPr>
                    <a:xfrm>
                      <a:off x="0" y="0"/>
                      <a:ext cx="6534785" cy="9242425"/>
                    </a:xfrm>
                    <a:prstGeom prst="rect">
                      <a:avLst/>
                    </a:prstGeom>
                  </pic:spPr>
                </pic:pic>
              </a:graphicData>
            </a:graphic>
          </wp:anchor>
        </w:drawing>
      </w:r>
    </w:p>
    <w:p>
      <w:pPr>
        <w:rPr>
          <w:rFonts w:hint="eastAsia" w:asciiTheme="minorEastAsia" w:hAnsiTheme="minorEastAsia" w:eastAsiaTheme="minorEastAsia" w:cstheme="minorEastAsia"/>
          <w:color w:val="auto"/>
          <w:sz w:val="28"/>
          <w:szCs w:val="28"/>
        </w:rPr>
      </w:pPr>
      <w:bookmarkStart w:id="100" w:name="_GoBack"/>
      <w:r>
        <w:rPr>
          <w:rFonts w:hint="eastAsia" w:asciiTheme="minorEastAsia" w:hAnsiTheme="minorEastAsia" w:eastAsiaTheme="minorEastAsia" w:cstheme="minorEastAsia"/>
          <w:color w:val="FF0000"/>
          <w:sz w:val="28"/>
          <w:szCs w:val="28"/>
          <w:lang w:eastAsia="zh-CN"/>
        </w:rPr>
        <w:drawing>
          <wp:anchor distT="0" distB="0" distL="114300" distR="114300" simplePos="0" relativeHeight="251674624" behindDoc="0" locked="0" layoutInCell="1" allowOverlap="1">
            <wp:simplePos x="0" y="0"/>
            <wp:positionH relativeFrom="column">
              <wp:posOffset>-459740</wp:posOffset>
            </wp:positionH>
            <wp:positionV relativeFrom="paragraph">
              <wp:posOffset>-448310</wp:posOffset>
            </wp:positionV>
            <wp:extent cx="6489700" cy="9178290"/>
            <wp:effectExtent l="0" t="0" r="6350" b="3810"/>
            <wp:wrapNone/>
            <wp:docPr id="28" name="图片 28" descr="发布令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发布令2"/>
                    <pic:cNvPicPr>
                      <a:picLocks noChangeAspect="1"/>
                    </pic:cNvPicPr>
                  </pic:nvPicPr>
                  <pic:blipFill>
                    <a:blip r:embed="rId16"/>
                    <a:stretch>
                      <a:fillRect/>
                    </a:stretch>
                  </pic:blipFill>
                  <pic:spPr>
                    <a:xfrm>
                      <a:off x="0" y="0"/>
                      <a:ext cx="6489700" cy="9178290"/>
                    </a:xfrm>
                    <a:prstGeom prst="rect">
                      <a:avLst/>
                    </a:prstGeom>
                  </pic:spPr>
                </pic:pic>
              </a:graphicData>
            </a:graphic>
          </wp:anchor>
        </w:drawing>
      </w:r>
      <w:bookmarkEnd w:id="100"/>
      <w:r>
        <w:rPr>
          <w:rFonts w:hint="eastAsia" w:asciiTheme="minorEastAsia" w:hAnsiTheme="minorEastAsia" w:eastAsiaTheme="minorEastAsia" w:cstheme="minorEastAsia"/>
          <w:color w:val="auto"/>
          <w:sz w:val="28"/>
          <w:szCs w:val="28"/>
        </w:rPr>
        <w:br w:type="page"/>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sectPr>
          <w:footerReference r:id="rId7" w:type="default"/>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p>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目</w:t>
      </w:r>
      <w:r>
        <w:rPr>
          <w:rFonts w:hint="eastAsia" w:asciiTheme="minorEastAsia" w:hAnsiTheme="minorEastAsia" w:eastAsiaTheme="minorEastAsia" w:cstheme="minorEastAsia"/>
          <w:color w:val="auto"/>
          <w:sz w:val="32"/>
          <w:szCs w:val="32"/>
          <w:lang w:val="en-US" w:eastAsia="zh-CN"/>
        </w:rPr>
        <w:t xml:space="preserve">  </w:t>
      </w:r>
      <w:r>
        <w:rPr>
          <w:rFonts w:hint="eastAsia" w:asciiTheme="minorEastAsia" w:hAnsiTheme="minorEastAsia" w:eastAsiaTheme="minorEastAsia" w:cstheme="minorEastAsia"/>
          <w:color w:val="auto"/>
          <w:sz w:val="32"/>
          <w:szCs w:val="32"/>
        </w:rPr>
        <w:t>录</w:t>
      </w:r>
    </w:p>
    <w:p>
      <w:pPr>
        <w:pStyle w:val="11"/>
        <w:tabs>
          <w:tab w:val="right" w:leader="dot" w:pos="9026"/>
        </w:tabs>
        <w:rPr>
          <w:color w:val="auto"/>
        </w:rPr>
      </w:pPr>
      <w:r>
        <w:rPr>
          <w:rFonts w:hint="eastAsia" w:asciiTheme="minorEastAsia" w:hAnsiTheme="minorEastAsia" w:eastAsiaTheme="minorEastAsia" w:cstheme="minorEastAsia"/>
          <w:color w:val="auto"/>
          <w:sz w:val="28"/>
          <w:szCs w:val="28"/>
          <w:lang w:val="en-US" w:eastAsia="zh-CN"/>
        </w:rPr>
        <w:fldChar w:fldCharType="begin"/>
      </w:r>
      <w:r>
        <w:rPr>
          <w:rFonts w:hint="eastAsia" w:asciiTheme="minorEastAsia" w:hAnsiTheme="minorEastAsia" w:eastAsiaTheme="minorEastAsia" w:cstheme="minorEastAsia"/>
          <w:color w:val="auto"/>
          <w:sz w:val="28"/>
          <w:szCs w:val="28"/>
          <w:lang w:val="en-US" w:eastAsia="zh-CN"/>
        </w:rPr>
        <w:instrText xml:space="preserve">TOC \o "1-2" \h \u </w:instrText>
      </w:r>
      <w:r>
        <w:rPr>
          <w:rFonts w:hint="eastAsia" w:asciiTheme="minorEastAsia" w:hAnsiTheme="minorEastAsia" w:eastAsiaTheme="minorEastAsia" w:cstheme="minorEastAsia"/>
          <w:color w:val="auto"/>
          <w:sz w:val="28"/>
          <w:szCs w:val="28"/>
          <w:lang w:val="en-US" w:eastAsia="zh-CN"/>
        </w:rPr>
        <w:fldChar w:fldCharType="separate"/>
      </w: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_Toc8318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rPr>
        <w:t>1 总则</w:t>
      </w:r>
      <w:r>
        <w:rPr>
          <w:color w:val="auto"/>
        </w:rPr>
        <w:tab/>
      </w:r>
      <w:r>
        <w:rPr>
          <w:color w:val="auto"/>
        </w:rPr>
        <w:fldChar w:fldCharType="begin"/>
      </w:r>
      <w:r>
        <w:rPr>
          <w:color w:val="auto"/>
        </w:rPr>
        <w:instrText xml:space="preserve"> PAGEREF _Toc8318 </w:instrText>
      </w:r>
      <w:r>
        <w:rPr>
          <w:color w:val="auto"/>
        </w:rPr>
        <w:fldChar w:fldCharType="separate"/>
      </w:r>
      <w:r>
        <w:rPr>
          <w:color w:val="auto"/>
        </w:rPr>
        <w:t>1</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_Toc21852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zh-CN"/>
        </w:rPr>
        <w:t>1.1 编制目的</w:t>
      </w:r>
      <w:r>
        <w:rPr>
          <w:color w:val="auto"/>
        </w:rPr>
        <w:tab/>
      </w:r>
      <w:r>
        <w:rPr>
          <w:color w:val="auto"/>
        </w:rPr>
        <w:fldChar w:fldCharType="begin"/>
      </w:r>
      <w:r>
        <w:rPr>
          <w:color w:val="auto"/>
        </w:rPr>
        <w:instrText xml:space="preserve"> PAGEREF _Toc21852 </w:instrText>
      </w:r>
      <w:r>
        <w:rPr>
          <w:color w:val="auto"/>
        </w:rPr>
        <w:fldChar w:fldCharType="separate"/>
      </w:r>
      <w:r>
        <w:rPr>
          <w:color w:val="auto"/>
        </w:rPr>
        <w:t>1</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_Toc31055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zh-CN"/>
        </w:rPr>
        <w:t>1.2 编制依据</w:t>
      </w:r>
      <w:r>
        <w:rPr>
          <w:color w:val="auto"/>
        </w:rPr>
        <w:tab/>
      </w:r>
      <w:r>
        <w:rPr>
          <w:color w:val="auto"/>
        </w:rPr>
        <w:fldChar w:fldCharType="begin"/>
      </w:r>
      <w:r>
        <w:rPr>
          <w:color w:val="auto"/>
        </w:rPr>
        <w:instrText xml:space="preserve"> PAGEREF _Toc31055 </w:instrText>
      </w:r>
      <w:r>
        <w:rPr>
          <w:color w:val="auto"/>
        </w:rPr>
        <w:fldChar w:fldCharType="separate"/>
      </w:r>
      <w:r>
        <w:rPr>
          <w:color w:val="auto"/>
        </w:rPr>
        <w:t>1</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_Toc13441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1.3 适用范围</w:t>
      </w:r>
      <w:r>
        <w:rPr>
          <w:color w:val="auto"/>
        </w:rPr>
        <w:tab/>
      </w:r>
      <w:r>
        <w:rPr>
          <w:color w:val="auto"/>
        </w:rPr>
        <w:fldChar w:fldCharType="begin"/>
      </w:r>
      <w:r>
        <w:rPr>
          <w:color w:val="auto"/>
        </w:rPr>
        <w:instrText xml:space="preserve"> PAGEREF _Toc13441 </w:instrText>
      </w:r>
      <w:r>
        <w:rPr>
          <w:color w:val="auto"/>
        </w:rPr>
        <w:fldChar w:fldCharType="separate"/>
      </w:r>
      <w:r>
        <w:rPr>
          <w:color w:val="auto"/>
        </w:rPr>
        <w:t>3</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_Toc439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zh-CN" w:eastAsia="zh-CN"/>
        </w:rPr>
        <w:t>1.</w:t>
      </w:r>
      <w:r>
        <w:rPr>
          <w:rFonts w:hint="eastAsia" w:asciiTheme="minorEastAsia" w:hAnsiTheme="minorEastAsia" w:eastAsiaTheme="minorEastAsia" w:cstheme="minorEastAsia"/>
          <w:bCs/>
          <w:color w:val="auto"/>
          <w:szCs w:val="28"/>
          <w:lang w:val="en-US" w:eastAsia="zh-CN"/>
        </w:rPr>
        <w:t>4</w:t>
      </w:r>
      <w:r>
        <w:rPr>
          <w:rFonts w:hint="eastAsia" w:asciiTheme="minorEastAsia" w:hAnsiTheme="minorEastAsia" w:eastAsiaTheme="minorEastAsia" w:cstheme="minorEastAsia"/>
          <w:bCs/>
          <w:color w:val="auto"/>
          <w:szCs w:val="28"/>
          <w:lang w:val="zh-CN" w:eastAsia="zh-CN"/>
        </w:rPr>
        <w:t xml:space="preserve"> 应急预案体系</w:t>
      </w:r>
      <w:r>
        <w:rPr>
          <w:color w:val="auto"/>
        </w:rPr>
        <w:tab/>
      </w:r>
      <w:r>
        <w:rPr>
          <w:color w:val="auto"/>
        </w:rPr>
        <w:fldChar w:fldCharType="begin"/>
      </w:r>
      <w:r>
        <w:rPr>
          <w:color w:val="auto"/>
        </w:rPr>
        <w:instrText xml:space="preserve"> PAGEREF _Toc439 </w:instrText>
      </w:r>
      <w:r>
        <w:rPr>
          <w:color w:val="auto"/>
        </w:rPr>
        <w:fldChar w:fldCharType="separate"/>
      </w:r>
      <w:r>
        <w:rPr>
          <w:color w:val="auto"/>
        </w:rPr>
        <w:t>4</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_Toc483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zh-CN" w:eastAsia="zh-CN"/>
        </w:rPr>
        <w:t>1.</w:t>
      </w:r>
      <w:r>
        <w:rPr>
          <w:rFonts w:hint="eastAsia" w:asciiTheme="minorEastAsia" w:hAnsiTheme="minorEastAsia" w:eastAsiaTheme="minorEastAsia" w:cstheme="minorEastAsia"/>
          <w:bCs/>
          <w:color w:val="auto"/>
          <w:szCs w:val="28"/>
          <w:lang w:val="en-US" w:eastAsia="zh-CN"/>
        </w:rPr>
        <w:t>5</w:t>
      </w:r>
      <w:r>
        <w:rPr>
          <w:rFonts w:hint="eastAsia" w:asciiTheme="minorEastAsia" w:hAnsiTheme="minorEastAsia" w:eastAsiaTheme="minorEastAsia" w:cstheme="minorEastAsia"/>
          <w:bCs/>
          <w:color w:val="auto"/>
          <w:szCs w:val="28"/>
          <w:lang w:val="zh-CN" w:eastAsia="zh-CN"/>
        </w:rPr>
        <w:t xml:space="preserve"> 工作原则</w:t>
      </w:r>
      <w:r>
        <w:rPr>
          <w:color w:val="auto"/>
        </w:rPr>
        <w:tab/>
      </w:r>
      <w:r>
        <w:rPr>
          <w:color w:val="auto"/>
        </w:rPr>
        <w:fldChar w:fldCharType="begin"/>
      </w:r>
      <w:r>
        <w:rPr>
          <w:color w:val="auto"/>
        </w:rPr>
        <w:instrText xml:space="preserve"> PAGEREF _Toc483 </w:instrText>
      </w:r>
      <w:r>
        <w:rPr>
          <w:color w:val="auto"/>
        </w:rPr>
        <w:fldChar w:fldCharType="separate"/>
      </w:r>
      <w:r>
        <w:rPr>
          <w:color w:val="auto"/>
        </w:rPr>
        <w:t>4</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1"/>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_Toc23909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lang w:val="en-US" w:eastAsia="zh-CN"/>
        </w:rPr>
        <w:t>2水源地基本信息</w:t>
      </w:r>
      <w:r>
        <w:rPr>
          <w:color w:val="auto"/>
        </w:rPr>
        <w:tab/>
      </w:r>
      <w:r>
        <w:rPr>
          <w:color w:val="auto"/>
        </w:rPr>
        <w:fldChar w:fldCharType="begin"/>
      </w:r>
      <w:r>
        <w:rPr>
          <w:color w:val="auto"/>
        </w:rPr>
        <w:instrText xml:space="preserve"> PAGEREF _Toc23909 </w:instrText>
      </w:r>
      <w:r>
        <w:rPr>
          <w:color w:val="auto"/>
        </w:rPr>
        <w:fldChar w:fldCharType="separate"/>
      </w:r>
      <w:r>
        <w:rPr>
          <w:color w:val="auto"/>
        </w:rPr>
        <w:t>6</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_Toc15487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2.1水源地基本信息</w:t>
      </w:r>
      <w:r>
        <w:rPr>
          <w:color w:val="auto"/>
        </w:rPr>
        <w:tab/>
      </w:r>
      <w:r>
        <w:rPr>
          <w:color w:val="auto"/>
        </w:rPr>
        <w:fldChar w:fldCharType="begin"/>
      </w:r>
      <w:r>
        <w:rPr>
          <w:color w:val="auto"/>
        </w:rPr>
        <w:instrText xml:space="preserve"> PAGEREF _Toc15487 </w:instrText>
      </w:r>
      <w:r>
        <w:rPr>
          <w:color w:val="auto"/>
        </w:rPr>
        <w:fldChar w:fldCharType="separate"/>
      </w:r>
      <w:r>
        <w:rPr>
          <w:color w:val="auto"/>
        </w:rPr>
        <w:t>6</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_Toc31043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2.2水源地取水情况</w:t>
      </w:r>
      <w:r>
        <w:rPr>
          <w:color w:val="auto"/>
        </w:rPr>
        <w:tab/>
      </w:r>
      <w:r>
        <w:rPr>
          <w:color w:val="auto"/>
        </w:rPr>
        <w:fldChar w:fldCharType="begin"/>
      </w:r>
      <w:r>
        <w:rPr>
          <w:color w:val="auto"/>
        </w:rPr>
        <w:instrText xml:space="preserve"> PAGEREF _Toc31043 </w:instrText>
      </w:r>
      <w:r>
        <w:rPr>
          <w:color w:val="auto"/>
        </w:rPr>
        <w:fldChar w:fldCharType="separate"/>
      </w:r>
      <w:r>
        <w:rPr>
          <w:color w:val="auto"/>
        </w:rPr>
        <w:t>6</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_Toc26607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2.3饮用水水源保护区</w:t>
      </w:r>
      <w:r>
        <w:rPr>
          <w:color w:val="auto"/>
        </w:rPr>
        <w:tab/>
      </w:r>
      <w:r>
        <w:rPr>
          <w:color w:val="auto"/>
        </w:rPr>
        <w:fldChar w:fldCharType="begin"/>
      </w:r>
      <w:r>
        <w:rPr>
          <w:color w:val="auto"/>
        </w:rPr>
        <w:instrText xml:space="preserve"> PAGEREF _Toc26607 </w:instrText>
      </w:r>
      <w:r>
        <w:rPr>
          <w:color w:val="auto"/>
        </w:rPr>
        <w:fldChar w:fldCharType="separate"/>
      </w:r>
      <w:r>
        <w:rPr>
          <w:color w:val="auto"/>
        </w:rPr>
        <w:t>6</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_Toc21367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2.4规范性建设</w:t>
      </w:r>
      <w:r>
        <w:rPr>
          <w:color w:val="auto"/>
        </w:rPr>
        <w:tab/>
      </w:r>
      <w:r>
        <w:rPr>
          <w:color w:val="auto"/>
        </w:rPr>
        <w:fldChar w:fldCharType="begin"/>
      </w:r>
      <w:r>
        <w:rPr>
          <w:color w:val="auto"/>
        </w:rPr>
        <w:instrText xml:space="preserve"> PAGEREF _Toc21367 </w:instrText>
      </w:r>
      <w:r>
        <w:rPr>
          <w:color w:val="auto"/>
        </w:rPr>
        <w:fldChar w:fldCharType="separate"/>
      </w:r>
      <w:r>
        <w:rPr>
          <w:color w:val="auto"/>
        </w:rPr>
        <w:t>7</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_Toc29780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2.5水源水质情况</w:t>
      </w:r>
      <w:r>
        <w:rPr>
          <w:color w:val="auto"/>
        </w:rPr>
        <w:tab/>
      </w:r>
      <w:r>
        <w:rPr>
          <w:color w:val="auto"/>
        </w:rPr>
        <w:fldChar w:fldCharType="begin"/>
      </w:r>
      <w:r>
        <w:rPr>
          <w:color w:val="auto"/>
        </w:rPr>
        <w:instrText xml:space="preserve"> PAGEREF _Toc29780 </w:instrText>
      </w:r>
      <w:r>
        <w:rPr>
          <w:color w:val="auto"/>
        </w:rPr>
        <w:fldChar w:fldCharType="separate"/>
      </w:r>
      <w:r>
        <w:rPr>
          <w:color w:val="auto"/>
        </w:rPr>
        <w:t>7</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_Toc14070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2.6水源地环境风险</w:t>
      </w:r>
      <w:r>
        <w:rPr>
          <w:color w:val="auto"/>
        </w:rPr>
        <w:tab/>
      </w:r>
      <w:r>
        <w:rPr>
          <w:color w:val="auto"/>
        </w:rPr>
        <w:fldChar w:fldCharType="begin"/>
      </w:r>
      <w:r>
        <w:rPr>
          <w:color w:val="auto"/>
        </w:rPr>
        <w:instrText xml:space="preserve"> PAGEREF _Toc14070 </w:instrText>
      </w:r>
      <w:r>
        <w:rPr>
          <w:color w:val="auto"/>
        </w:rPr>
        <w:fldChar w:fldCharType="separate"/>
      </w:r>
      <w:r>
        <w:rPr>
          <w:color w:val="auto"/>
        </w:rPr>
        <w:t>7</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1"/>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_Toc10220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lang w:val="en-US" w:eastAsia="zh-CN"/>
        </w:rPr>
        <w:t>3 应急组织指挥体系</w:t>
      </w:r>
      <w:r>
        <w:rPr>
          <w:color w:val="auto"/>
        </w:rPr>
        <w:tab/>
      </w:r>
      <w:r>
        <w:rPr>
          <w:color w:val="auto"/>
        </w:rPr>
        <w:fldChar w:fldCharType="begin"/>
      </w:r>
      <w:r>
        <w:rPr>
          <w:color w:val="auto"/>
        </w:rPr>
        <w:instrText xml:space="preserve"> PAGEREF _Toc10220 </w:instrText>
      </w:r>
      <w:r>
        <w:rPr>
          <w:color w:val="auto"/>
        </w:rPr>
        <w:fldChar w:fldCharType="separate"/>
      </w:r>
      <w:r>
        <w:rPr>
          <w:color w:val="auto"/>
        </w:rPr>
        <w:t>8</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_Toc28195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3.1 应急组织指挥机构</w:t>
      </w:r>
      <w:r>
        <w:rPr>
          <w:color w:val="auto"/>
        </w:rPr>
        <w:tab/>
      </w:r>
      <w:r>
        <w:rPr>
          <w:color w:val="auto"/>
        </w:rPr>
        <w:fldChar w:fldCharType="begin"/>
      </w:r>
      <w:r>
        <w:rPr>
          <w:color w:val="auto"/>
        </w:rPr>
        <w:instrText xml:space="preserve"> PAGEREF _Toc28195 </w:instrText>
      </w:r>
      <w:r>
        <w:rPr>
          <w:color w:val="auto"/>
        </w:rPr>
        <w:fldChar w:fldCharType="separate"/>
      </w:r>
      <w:r>
        <w:rPr>
          <w:color w:val="auto"/>
        </w:rPr>
        <w:t>8</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_Toc17703 </w:instrText>
      </w:r>
      <w:r>
        <w:rPr>
          <w:rFonts w:hint="eastAsia" w:asciiTheme="minorEastAsia" w:hAnsiTheme="minorEastAsia" w:eastAsiaTheme="minorEastAsia" w:cstheme="minorEastAsia"/>
          <w:color w:val="auto"/>
          <w:szCs w:val="28"/>
          <w:lang w:val="en-US" w:eastAsia="zh-CN"/>
        </w:rPr>
        <w:fldChar w:fldCharType="separate"/>
      </w:r>
      <w:r>
        <w:rPr>
          <w:rFonts w:hint="eastAsia"/>
          <w:bCs/>
          <w:color w:val="auto"/>
          <w:szCs w:val="28"/>
          <w:lang w:val="en-US" w:eastAsia="zh-CN"/>
        </w:rPr>
        <w:t>3.2各部门常态职责：</w:t>
      </w:r>
      <w:r>
        <w:rPr>
          <w:color w:val="auto"/>
        </w:rPr>
        <w:tab/>
      </w:r>
      <w:r>
        <w:rPr>
          <w:color w:val="auto"/>
        </w:rPr>
        <w:fldChar w:fldCharType="begin"/>
      </w:r>
      <w:r>
        <w:rPr>
          <w:color w:val="auto"/>
        </w:rPr>
        <w:instrText xml:space="preserve"> PAGEREF _Toc17703 </w:instrText>
      </w:r>
      <w:r>
        <w:rPr>
          <w:color w:val="auto"/>
        </w:rPr>
        <w:fldChar w:fldCharType="separate"/>
      </w:r>
      <w:r>
        <w:rPr>
          <w:color w:val="auto"/>
        </w:rPr>
        <w:t>11</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1"/>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_Toc9304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lang w:val="en-US" w:eastAsia="zh-CN"/>
        </w:rPr>
        <w:t>4应急响</w:t>
      </w:r>
      <w:r>
        <w:rPr>
          <w:rFonts w:hint="eastAsia" w:asciiTheme="minorEastAsia" w:hAnsiTheme="minorEastAsia" w:eastAsiaTheme="minorEastAsia" w:cstheme="minorEastAsia"/>
          <w:bCs/>
          <w:color w:val="auto"/>
          <w:szCs w:val="32"/>
        </w:rPr>
        <w:t>应</w:t>
      </w:r>
      <w:r>
        <w:rPr>
          <w:color w:val="auto"/>
        </w:rPr>
        <w:tab/>
      </w:r>
      <w:r>
        <w:rPr>
          <w:color w:val="auto"/>
        </w:rPr>
        <w:fldChar w:fldCharType="begin"/>
      </w:r>
      <w:r>
        <w:rPr>
          <w:color w:val="auto"/>
        </w:rPr>
        <w:instrText xml:space="preserve"> PAGEREF _Toc9304 </w:instrText>
      </w:r>
      <w:r>
        <w:rPr>
          <w:color w:val="auto"/>
        </w:rPr>
        <w:fldChar w:fldCharType="separate"/>
      </w:r>
      <w:r>
        <w:rPr>
          <w:color w:val="auto"/>
        </w:rPr>
        <w:t>14</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_Toc30335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4.1预警</w:t>
      </w:r>
      <w:r>
        <w:rPr>
          <w:color w:val="auto"/>
        </w:rPr>
        <w:tab/>
      </w:r>
      <w:r>
        <w:rPr>
          <w:color w:val="auto"/>
        </w:rPr>
        <w:fldChar w:fldCharType="begin"/>
      </w:r>
      <w:r>
        <w:rPr>
          <w:color w:val="auto"/>
        </w:rPr>
        <w:instrText xml:space="preserve"> PAGEREF _Toc30335 </w:instrText>
      </w:r>
      <w:r>
        <w:rPr>
          <w:color w:val="auto"/>
        </w:rPr>
        <w:fldChar w:fldCharType="separate"/>
      </w:r>
      <w:r>
        <w:rPr>
          <w:color w:val="auto"/>
        </w:rPr>
        <w:t>15</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_Toc7047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4.2</w:t>
      </w:r>
      <w:r>
        <w:rPr>
          <w:rFonts w:hint="eastAsia" w:asciiTheme="minorEastAsia" w:hAnsiTheme="minorEastAsia" w:eastAsiaTheme="minorEastAsia" w:cstheme="minorEastAsia"/>
          <w:bCs/>
          <w:color w:val="auto"/>
          <w:szCs w:val="28"/>
          <w:lang w:val="zh-CN"/>
        </w:rPr>
        <w:t>信息报告与通报</w:t>
      </w:r>
      <w:r>
        <w:rPr>
          <w:color w:val="auto"/>
        </w:rPr>
        <w:tab/>
      </w:r>
      <w:r>
        <w:rPr>
          <w:color w:val="auto"/>
        </w:rPr>
        <w:fldChar w:fldCharType="begin"/>
      </w:r>
      <w:r>
        <w:rPr>
          <w:color w:val="auto"/>
        </w:rPr>
        <w:instrText xml:space="preserve"> PAGEREF _Toc7047 </w:instrText>
      </w:r>
      <w:r>
        <w:rPr>
          <w:color w:val="auto"/>
        </w:rPr>
        <w:fldChar w:fldCharType="separate"/>
      </w:r>
      <w:r>
        <w:rPr>
          <w:color w:val="auto"/>
        </w:rPr>
        <w:t>18</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_Toc23011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4.3</w:t>
      </w:r>
      <w:r>
        <w:rPr>
          <w:rFonts w:hint="eastAsia" w:asciiTheme="minorEastAsia" w:hAnsiTheme="minorEastAsia" w:eastAsiaTheme="minorEastAsia" w:cstheme="minorEastAsia"/>
          <w:bCs/>
          <w:color w:val="auto"/>
          <w:szCs w:val="28"/>
          <w:lang w:val="zh-CN"/>
        </w:rPr>
        <w:t>事态跟踪研判</w:t>
      </w:r>
      <w:r>
        <w:rPr>
          <w:color w:val="auto"/>
        </w:rPr>
        <w:tab/>
      </w:r>
      <w:r>
        <w:rPr>
          <w:color w:val="auto"/>
        </w:rPr>
        <w:fldChar w:fldCharType="begin"/>
      </w:r>
      <w:r>
        <w:rPr>
          <w:color w:val="auto"/>
        </w:rPr>
        <w:instrText xml:space="preserve"> PAGEREF _Toc23011 </w:instrText>
      </w:r>
      <w:r>
        <w:rPr>
          <w:color w:val="auto"/>
        </w:rPr>
        <w:fldChar w:fldCharType="separate"/>
      </w:r>
      <w:r>
        <w:rPr>
          <w:color w:val="auto"/>
        </w:rPr>
        <w:t>20</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_Toc22183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4.4</w:t>
      </w:r>
      <w:r>
        <w:rPr>
          <w:rFonts w:hint="eastAsia" w:asciiTheme="minorEastAsia" w:hAnsiTheme="minorEastAsia" w:eastAsiaTheme="minorEastAsia" w:cstheme="minorEastAsia"/>
          <w:bCs/>
          <w:color w:val="auto"/>
          <w:szCs w:val="28"/>
          <w:lang w:val="zh-CN"/>
        </w:rPr>
        <w:t>应急监测</w:t>
      </w:r>
      <w:r>
        <w:rPr>
          <w:color w:val="auto"/>
        </w:rPr>
        <w:tab/>
      </w:r>
      <w:r>
        <w:rPr>
          <w:color w:val="auto"/>
        </w:rPr>
        <w:fldChar w:fldCharType="begin"/>
      </w:r>
      <w:r>
        <w:rPr>
          <w:color w:val="auto"/>
        </w:rPr>
        <w:instrText xml:space="preserve"> PAGEREF _Toc22183 </w:instrText>
      </w:r>
      <w:r>
        <w:rPr>
          <w:color w:val="auto"/>
        </w:rPr>
        <w:fldChar w:fldCharType="separate"/>
      </w:r>
      <w:r>
        <w:rPr>
          <w:color w:val="auto"/>
        </w:rPr>
        <w:t>21</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_Toc14401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4.5污染</w:t>
      </w:r>
      <w:r>
        <w:rPr>
          <w:rFonts w:hint="eastAsia" w:asciiTheme="minorEastAsia" w:hAnsiTheme="minorEastAsia" w:eastAsiaTheme="minorEastAsia" w:cstheme="minorEastAsia"/>
          <w:bCs/>
          <w:color w:val="auto"/>
          <w:szCs w:val="28"/>
          <w:lang w:val="zh-CN"/>
        </w:rPr>
        <w:t>源排查与处置</w:t>
      </w:r>
      <w:r>
        <w:rPr>
          <w:color w:val="auto"/>
        </w:rPr>
        <w:tab/>
      </w:r>
      <w:r>
        <w:rPr>
          <w:color w:val="auto"/>
        </w:rPr>
        <w:fldChar w:fldCharType="begin"/>
      </w:r>
      <w:r>
        <w:rPr>
          <w:color w:val="auto"/>
        </w:rPr>
        <w:instrText xml:space="preserve"> PAGEREF _Toc14401 </w:instrText>
      </w:r>
      <w:r>
        <w:rPr>
          <w:color w:val="auto"/>
        </w:rPr>
        <w:fldChar w:fldCharType="separate"/>
      </w:r>
      <w:r>
        <w:rPr>
          <w:color w:val="auto"/>
        </w:rPr>
        <w:t>23</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_Toc19828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4.6</w:t>
      </w:r>
      <w:r>
        <w:rPr>
          <w:rFonts w:hint="eastAsia" w:asciiTheme="minorEastAsia" w:hAnsiTheme="minorEastAsia" w:eastAsiaTheme="minorEastAsia" w:cstheme="minorEastAsia"/>
          <w:bCs/>
          <w:color w:val="auto"/>
          <w:szCs w:val="28"/>
          <w:lang w:val="zh-CN"/>
        </w:rPr>
        <w:t>应急处置</w:t>
      </w:r>
      <w:r>
        <w:rPr>
          <w:color w:val="auto"/>
        </w:rPr>
        <w:tab/>
      </w:r>
      <w:r>
        <w:rPr>
          <w:color w:val="auto"/>
        </w:rPr>
        <w:fldChar w:fldCharType="begin"/>
      </w:r>
      <w:r>
        <w:rPr>
          <w:color w:val="auto"/>
        </w:rPr>
        <w:instrText xml:space="preserve"> PAGEREF _Toc19828 </w:instrText>
      </w:r>
      <w:r>
        <w:rPr>
          <w:color w:val="auto"/>
        </w:rPr>
        <w:fldChar w:fldCharType="separate"/>
      </w:r>
      <w:r>
        <w:rPr>
          <w:color w:val="auto"/>
        </w:rPr>
        <w:t>25</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_Toc23237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4.7</w:t>
      </w:r>
      <w:r>
        <w:rPr>
          <w:rFonts w:hint="eastAsia" w:asciiTheme="minorEastAsia" w:hAnsiTheme="minorEastAsia" w:eastAsiaTheme="minorEastAsia" w:cstheme="minorEastAsia"/>
          <w:bCs/>
          <w:color w:val="auto"/>
          <w:szCs w:val="28"/>
          <w:lang w:val="zh-CN"/>
        </w:rPr>
        <w:t>物资调集及应急设施启用</w:t>
      </w:r>
      <w:r>
        <w:rPr>
          <w:color w:val="auto"/>
        </w:rPr>
        <w:tab/>
      </w:r>
      <w:r>
        <w:rPr>
          <w:color w:val="auto"/>
        </w:rPr>
        <w:fldChar w:fldCharType="begin"/>
      </w:r>
      <w:r>
        <w:rPr>
          <w:color w:val="auto"/>
        </w:rPr>
        <w:instrText xml:space="preserve"> PAGEREF _Toc23237 </w:instrText>
      </w:r>
      <w:r>
        <w:rPr>
          <w:color w:val="auto"/>
        </w:rPr>
        <w:fldChar w:fldCharType="separate"/>
      </w:r>
      <w:r>
        <w:rPr>
          <w:color w:val="auto"/>
        </w:rPr>
        <w:t>28</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_Toc6981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4.8</w:t>
      </w:r>
      <w:r>
        <w:rPr>
          <w:rFonts w:hint="eastAsia" w:asciiTheme="minorEastAsia" w:hAnsiTheme="minorEastAsia" w:eastAsiaTheme="minorEastAsia" w:cstheme="minorEastAsia"/>
          <w:bCs/>
          <w:color w:val="auto"/>
          <w:szCs w:val="28"/>
          <w:lang w:val="zh-CN"/>
        </w:rPr>
        <w:t>舆情监测与信息发布</w:t>
      </w:r>
      <w:r>
        <w:rPr>
          <w:color w:val="auto"/>
        </w:rPr>
        <w:tab/>
      </w:r>
      <w:r>
        <w:rPr>
          <w:color w:val="auto"/>
        </w:rPr>
        <w:fldChar w:fldCharType="begin"/>
      </w:r>
      <w:r>
        <w:rPr>
          <w:color w:val="auto"/>
        </w:rPr>
        <w:instrText xml:space="preserve"> PAGEREF _Toc6981 </w:instrText>
      </w:r>
      <w:r>
        <w:rPr>
          <w:color w:val="auto"/>
        </w:rPr>
        <w:fldChar w:fldCharType="separate"/>
      </w:r>
      <w:r>
        <w:rPr>
          <w:color w:val="auto"/>
        </w:rPr>
        <w:t>28</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_Toc29405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4.9响应终</w:t>
      </w:r>
      <w:r>
        <w:rPr>
          <w:rFonts w:hint="eastAsia" w:asciiTheme="minorEastAsia" w:hAnsiTheme="minorEastAsia" w:eastAsiaTheme="minorEastAsia" w:cstheme="minorEastAsia"/>
          <w:bCs/>
          <w:color w:val="auto"/>
          <w:szCs w:val="28"/>
          <w:lang w:val="zh-CN"/>
        </w:rPr>
        <w:t>止</w:t>
      </w:r>
      <w:r>
        <w:rPr>
          <w:color w:val="auto"/>
        </w:rPr>
        <w:tab/>
      </w:r>
      <w:r>
        <w:rPr>
          <w:color w:val="auto"/>
        </w:rPr>
        <w:fldChar w:fldCharType="begin"/>
      </w:r>
      <w:r>
        <w:rPr>
          <w:color w:val="auto"/>
        </w:rPr>
        <w:instrText xml:space="preserve"> PAGEREF _Toc29405 </w:instrText>
      </w:r>
      <w:r>
        <w:rPr>
          <w:color w:val="auto"/>
        </w:rPr>
        <w:fldChar w:fldCharType="separate"/>
      </w:r>
      <w:r>
        <w:rPr>
          <w:color w:val="auto"/>
        </w:rPr>
        <w:t>28</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1"/>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_Toc26998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lang w:val="en-US" w:eastAsia="zh-CN"/>
        </w:rPr>
        <w:t>5</w:t>
      </w:r>
      <w:r>
        <w:rPr>
          <w:rFonts w:hint="eastAsia" w:asciiTheme="minorEastAsia" w:hAnsiTheme="minorEastAsia" w:eastAsiaTheme="minorEastAsia" w:cstheme="minorEastAsia"/>
          <w:bCs/>
          <w:color w:val="auto"/>
          <w:szCs w:val="32"/>
        </w:rPr>
        <w:t>后期工作</w:t>
      </w:r>
      <w:r>
        <w:rPr>
          <w:color w:val="auto"/>
        </w:rPr>
        <w:tab/>
      </w:r>
      <w:r>
        <w:rPr>
          <w:color w:val="auto"/>
        </w:rPr>
        <w:fldChar w:fldCharType="begin"/>
      </w:r>
      <w:r>
        <w:rPr>
          <w:color w:val="auto"/>
        </w:rPr>
        <w:instrText xml:space="preserve"> PAGEREF _Toc26998 </w:instrText>
      </w:r>
      <w:r>
        <w:rPr>
          <w:color w:val="auto"/>
        </w:rPr>
        <w:fldChar w:fldCharType="separate"/>
      </w:r>
      <w:r>
        <w:rPr>
          <w:color w:val="auto"/>
        </w:rPr>
        <w:t>30</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_Toc29562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5.1</w:t>
      </w:r>
      <w:r>
        <w:rPr>
          <w:rFonts w:hint="eastAsia" w:asciiTheme="minorEastAsia" w:hAnsiTheme="minorEastAsia" w:eastAsiaTheme="minorEastAsia" w:cstheme="minorEastAsia"/>
          <w:bCs/>
          <w:color w:val="auto"/>
          <w:szCs w:val="28"/>
          <w:lang w:val="zh-CN"/>
        </w:rPr>
        <w:t>后期防控</w:t>
      </w:r>
      <w:r>
        <w:rPr>
          <w:color w:val="auto"/>
        </w:rPr>
        <w:tab/>
      </w:r>
      <w:r>
        <w:rPr>
          <w:color w:val="auto"/>
        </w:rPr>
        <w:fldChar w:fldCharType="begin"/>
      </w:r>
      <w:r>
        <w:rPr>
          <w:color w:val="auto"/>
        </w:rPr>
        <w:instrText xml:space="preserve"> PAGEREF _Toc29562 </w:instrText>
      </w:r>
      <w:r>
        <w:rPr>
          <w:color w:val="auto"/>
        </w:rPr>
        <w:fldChar w:fldCharType="separate"/>
      </w:r>
      <w:r>
        <w:rPr>
          <w:color w:val="auto"/>
        </w:rPr>
        <w:t>30</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_Toc6709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5.2</w:t>
      </w:r>
      <w:r>
        <w:rPr>
          <w:rFonts w:hint="eastAsia" w:asciiTheme="minorEastAsia" w:hAnsiTheme="minorEastAsia" w:eastAsiaTheme="minorEastAsia" w:cstheme="minorEastAsia"/>
          <w:bCs/>
          <w:color w:val="auto"/>
          <w:szCs w:val="28"/>
          <w:lang w:val="zh-CN"/>
        </w:rPr>
        <w:t>事件调查</w:t>
      </w:r>
      <w:r>
        <w:rPr>
          <w:color w:val="auto"/>
        </w:rPr>
        <w:tab/>
      </w:r>
      <w:r>
        <w:rPr>
          <w:color w:val="auto"/>
        </w:rPr>
        <w:fldChar w:fldCharType="begin"/>
      </w:r>
      <w:r>
        <w:rPr>
          <w:color w:val="auto"/>
        </w:rPr>
        <w:instrText xml:space="preserve"> PAGEREF _Toc6709 </w:instrText>
      </w:r>
      <w:r>
        <w:rPr>
          <w:color w:val="auto"/>
        </w:rPr>
        <w:fldChar w:fldCharType="separate"/>
      </w:r>
      <w:r>
        <w:rPr>
          <w:color w:val="auto"/>
        </w:rPr>
        <w:t>30</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_Toc27936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5.3损害评估</w:t>
      </w:r>
      <w:r>
        <w:rPr>
          <w:color w:val="auto"/>
        </w:rPr>
        <w:tab/>
      </w:r>
      <w:r>
        <w:rPr>
          <w:color w:val="auto"/>
        </w:rPr>
        <w:fldChar w:fldCharType="begin"/>
      </w:r>
      <w:r>
        <w:rPr>
          <w:color w:val="auto"/>
        </w:rPr>
        <w:instrText xml:space="preserve"> PAGEREF _Toc27936 </w:instrText>
      </w:r>
      <w:r>
        <w:rPr>
          <w:color w:val="auto"/>
        </w:rPr>
        <w:fldChar w:fldCharType="separate"/>
      </w:r>
      <w:r>
        <w:rPr>
          <w:color w:val="auto"/>
        </w:rPr>
        <w:t>30</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_Toc7865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5.4善后处置</w:t>
      </w:r>
      <w:r>
        <w:rPr>
          <w:color w:val="auto"/>
        </w:rPr>
        <w:tab/>
      </w:r>
      <w:r>
        <w:rPr>
          <w:color w:val="auto"/>
        </w:rPr>
        <w:fldChar w:fldCharType="begin"/>
      </w:r>
      <w:r>
        <w:rPr>
          <w:color w:val="auto"/>
        </w:rPr>
        <w:instrText xml:space="preserve"> PAGEREF _Toc7865 </w:instrText>
      </w:r>
      <w:r>
        <w:rPr>
          <w:color w:val="auto"/>
        </w:rPr>
        <w:fldChar w:fldCharType="separate"/>
      </w:r>
      <w:r>
        <w:rPr>
          <w:color w:val="auto"/>
        </w:rPr>
        <w:t>31</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1"/>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_Toc19404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lang w:val="en-US" w:eastAsia="zh-CN"/>
        </w:rPr>
        <w:t>6</w:t>
      </w:r>
      <w:r>
        <w:rPr>
          <w:rFonts w:hint="eastAsia" w:asciiTheme="minorEastAsia" w:hAnsiTheme="minorEastAsia" w:eastAsiaTheme="minorEastAsia" w:cstheme="minorEastAsia"/>
          <w:bCs/>
          <w:color w:val="auto"/>
          <w:szCs w:val="32"/>
        </w:rPr>
        <w:t>应急保障</w:t>
      </w:r>
      <w:r>
        <w:rPr>
          <w:color w:val="auto"/>
        </w:rPr>
        <w:tab/>
      </w:r>
      <w:r>
        <w:rPr>
          <w:color w:val="auto"/>
        </w:rPr>
        <w:fldChar w:fldCharType="begin"/>
      </w:r>
      <w:r>
        <w:rPr>
          <w:color w:val="auto"/>
        </w:rPr>
        <w:instrText xml:space="preserve"> PAGEREF _Toc19404 </w:instrText>
      </w:r>
      <w:r>
        <w:rPr>
          <w:color w:val="auto"/>
        </w:rPr>
        <w:fldChar w:fldCharType="separate"/>
      </w:r>
      <w:r>
        <w:rPr>
          <w:color w:val="auto"/>
        </w:rPr>
        <w:t>32</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_Toc31787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6.1</w:t>
      </w:r>
      <w:r>
        <w:rPr>
          <w:rFonts w:hint="eastAsia" w:asciiTheme="minorEastAsia" w:hAnsiTheme="minorEastAsia" w:eastAsiaTheme="minorEastAsia" w:cstheme="minorEastAsia"/>
          <w:bCs/>
          <w:color w:val="auto"/>
          <w:szCs w:val="28"/>
          <w:lang w:val="zh-CN"/>
        </w:rPr>
        <w:t>通讯与信息保障</w:t>
      </w:r>
      <w:r>
        <w:rPr>
          <w:color w:val="auto"/>
        </w:rPr>
        <w:tab/>
      </w:r>
      <w:r>
        <w:rPr>
          <w:color w:val="auto"/>
        </w:rPr>
        <w:fldChar w:fldCharType="begin"/>
      </w:r>
      <w:r>
        <w:rPr>
          <w:color w:val="auto"/>
        </w:rPr>
        <w:instrText xml:space="preserve"> PAGEREF _Toc31787 </w:instrText>
      </w:r>
      <w:r>
        <w:rPr>
          <w:color w:val="auto"/>
        </w:rPr>
        <w:fldChar w:fldCharType="separate"/>
      </w:r>
      <w:r>
        <w:rPr>
          <w:color w:val="auto"/>
        </w:rPr>
        <w:t>32</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_Toc3257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6.2</w:t>
      </w:r>
      <w:r>
        <w:rPr>
          <w:rFonts w:hint="eastAsia" w:asciiTheme="minorEastAsia" w:hAnsiTheme="minorEastAsia" w:eastAsiaTheme="minorEastAsia" w:cstheme="minorEastAsia"/>
          <w:bCs/>
          <w:color w:val="auto"/>
          <w:szCs w:val="28"/>
          <w:lang w:val="zh-CN"/>
        </w:rPr>
        <w:t>应急队伍保障</w:t>
      </w:r>
      <w:r>
        <w:rPr>
          <w:color w:val="auto"/>
        </w:rPr>
        <w:tab/>
      </w:r>
      <w:r>
        <w:rPr>
          <w:color w:val="auto"/>
        </w:rPr>
        <w:fldChar w:fldCharType="begin"/>
      </w:r>
      <w:r>
        <w:rPr>
          <w:color w:val="auto"/>
        </w:rPr>
        <w:instrText xml:space="preserve"> PAGEREF _Toc3257 </w:instrText>
      </w:r>
      <w:r>
        <w:rPr>
          <w:color w:val="auto"/>
        </w:rPr>
        <w:fldChar w:fldCharType="separate"/>
      </w:r>
      <w:r>
        <w:rPr>
          <w:color w:val="auto"/>
        </w:rPr>
        <w:t>32</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_Toc23745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6.3应急资源保障</w:t>
      </w:r>
      <w:r>
        <w:rPr>
          <w:color w:val="auto"/>
        </w:rPr>
        <w:tab/>
      </w:r>
      <w:r>
        <w:rPr>
          <w:color w:val="auto"/>
        </w:rPr>
        <w:fldChar w:fldCharType="begin"/>
      </w:r>
      <w:r>
        <w:rPr>
          <w:color w:val="auto"/>
        </w:rPr>
        <w:instrText xml:space="preserve"> PAGEREF _Toc23745 </w:instrText>
      </w:r>
      <w:r>
        <w:rPr>
          <w:color w:val="auto"/>
        </w:rPr>
        <w:fldChar w:fldCharType="separate"/>
      </w:r>
      <w:r>
        <w:rPr>
          <w:color w:val="auto"/>
        </w:rPr>
        <w:t>33</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_Toc29569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6.4经费保障</w:t>
      </w:r>
      <w:r>
        <w:rPr>
          <w:color w:val="auto"/>
        </w:rPr>
        <w:tab/>
      </w:r>
      <w:r>
        <w:rPr>
          <w:color w:val="auto"/>
        </w:rPr>
        <w:fldChar w:fldCharType="begin"/>
      </w:r>
      <w:r>
        <w:rPr>
          <w:color w:val="auto"/>
        </w:rPr>
        <w:instrText xml:space="preserve"> PAGEREF _Toc29569 </w:instrText>
      </w:r>
      <w:r>
        <w:rPr>
          <w:color w:val="auto"/>
        </w:rPr>
        <w:fldChar w:fldCharType="separate"/>
      </w:r>
      <w:r>
        <w:rPr>
          <w:color w:val="auto"/>
        </w:rPr>
        <w:t>33</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_Toc14053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6.5其他保障</w:t>
      </w:r>
      <w:r>
        <w:rPr>
          <w:color w:val="auto"/>
        </w:rPr>
        <w:tab/>
      </w:r>
      <w:r>
        <w:rPr>
          <w:color w:val="auto"/>
        </w:rPr>
        <w:fldChar w:fldCharType="begin"/>
      </w:r>
      <w:r>
        <w:rPr>
          <w:color w:val="auto"/>
        </w:rPr>
        <w:instrText xml:space="preserve"> PAGEREF _Toc14053 </w:instrText>
      </w:r>
      <w:r>
        <w:rPr>
          <w:color w:val="auto"/>
        </w:rPr>
        <w:fldChar w:fldCharType="separate"/>
      </w:r>
      <w:r>
        <w:rPr>
          <w:color w:val="auto"/>
        </w:rPr>
        <w:t>33</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1"/>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_Toc16701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lang w:val="en-US" w:eastAsia="zh-CN"/>
        </w:rPr>
        <w:t>7</w:t>
      </w:r>
      <w:r>
        <w:rPr>
          <w:rFonts w:hint="eastAsia" w:asciiTheme="minorEastAsia" w:hAnsiTheme="minorEastAsia" w:eastAsiaTheme="minorEastAsia" w:cstheme="minorEastAsia"/>
          <w:bCs/>
          <w:color w:val="auto"/>
          <w:szCs w:val="32"/>
        </w:rPr>
        <w:t>附则</w:t>
      </w:r>
      <w:r>
        <w:rPr>
          <w:color w:val="auto"/>
        </w:rPr>
        <w:tab/>
      </w:r>
      <w:r>
        <w:rPr>
          <w:color w:val="auto"/>
        </w:rPr>
        <w:fldChar w:fldCharType="begin"/>
      </w:r>
      <w:r>
        <w:rPr>
          <w:color w:val="auto"/>
        </w:rPr>
        <w:instrText xml:space="preserve"> PAGEREF _Toc16701 </w:instrText>
      </w:r>
      <w:r>
        <w:rPr>
          <w:color w:val="auto"/>
        </w:rPr>
        <w:fldChar w:fldCharType="separate"/>
      </w:r>
      <w:r>
        <w:rPr>
          <w:color w:val="auto"/>
        </w:rPr>
        <w:t>34</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_Toc8795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7.1</w:t>
      </w:r>
      <w:r>
        <w:rPr>
          <w:rFonts w:hint="eastAsia" w:asciiTheme="minorEastAsia" w:hAnsiTheme="minorEastAsia" w:eastAsiaTheme="minorEastAsia" w:cstheme="minorEastAsia"/>
          <w:bCs/>
          <w:color w:val="auto"/>
          <w:szCs w:val="28"/>
          <w:lang w:val="zh-CN"/>
        </w:rPr>
        <w:t>名词术语</w:t>
      </w:r>
      <w:r>
        <w:rPr>
          <w:color w:val="auto"/>
        </w:rPr>
        <w:tab/>
      </w:r>
      <w:r>
        <w:rPr>
          <w:color w:val="auto"/>
        </w:rPr>
        <w:fldChar w:fldCharType="begin"/>
      </w:r>
      <w:r>
        <w:rPr>
          <w:color w:val="auto"/>
        </w:rPr>
        <w:instrText xml:space="preserve"> PAGEREF _Toc8795 </w:instrText>
      </w:r>
      <w:r>
        <w:rPr>
          <w:color w:val="auto"/>
        </w:rPr>
        <w:fldChar w:fldCharType="separate"/>
      </w:r>
      <w:r>
        <w:rPr>
          <w:color w:val="auto"/>
        </w:rPr>
        <w:t>34</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_Toc17792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7.2</w:t>
      </w:r>
      <w:r>
        <w:rPr>
          <w:rFonts w:hint="eastAsia" w:asciiTheme="minorEastAsia" w:hAnsiTheme="minorEastAsia" w:eastAsiaTheme="minorEastAsia" w:cstheme="minorEastAsia"/>
          <w:bCs/>
          <w:color w:val="auto"/>
          <w:szCs w:val="28"/>
          <w:lang w:val="zh-CN"/>
        </w:rPr>
        <w:t>预案解释权属</w:t>
      </w:r>
      <w:r>
        <w:rPr>
          <w:color w:val="auto"/>
        </w:rPr>
        <w:tab/>
      </w:r>
      <w:r>
        <w:rPr>
          <w:color w:val="auto"/>
        </w:rPr>
        <w:fldChar w:fldCharType="begin"/>
      </w:r>
      <w:r>
        <w:rPr>
          <w:color w:val="auto"/>
        </w:rPr>
        <w:instrText xml:space="preserve"> PAGEREF _Toc17792 </w:instrText>
      </w:r>
      <w:r>
        <w:rPr>
          <w:color w:val="auto"/>
        </w:rPr>
        <w:fldChar w:fldCharType="separate"/>
      </w:r>
      <w:r>
        <w:rPr>
          <w:color w:val="auto"/>
        </w:rPr>
        <w:t>34</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_Toc29630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7.3预案演练和修订</w:t>
      </w:r>
      <w:r>
        <w:rPr>
          <w:color w:val="auto"/>
        </w:rPr>
        <w:tab/>
      </w:r>
      <w:r>
        <w:rPr>
          <w:color w:val="auto"/>
        </w:rPr>
        <w:fldChar w:fldCharType="begin"/>
      </w:r>
      <w:r>
        <w:rPr>
          <w:color w:val="auto"/>
        </w:rPr>
        <w:instrText xml:space="preserve"> PAGEREF _Toc29630 </w:instrText>
      </w:r>
      <w:r>
        <w:rPr>
          <w:color w:val="auto"/>
        </w:rPr>
        <w:fldChar w:fldCharType="separate"/>
      </w:r>
      <w:r>
        <w:rPr>
          <w:color w:val="auto"/>
        </w:rPr>
        <w:t>35</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_Toc8302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7.4预案实施日期</w:t>
      </w:r>
      <w:r>
        <w:rPr>
          <w:color w:val="auto"/>
        </w:rPr>
        <w:tab/>
      </w:r>
      <w:r>
        <w:rPr>
          <w:color w:val="auto"/>
        </w:rPr>
        <w:fldChar w:fldCharType="begin"/>
      </w:r>
      <w:r>
        <w:rPr>
          <w:color w:val="auto"/>
        </w:rPr>
        <w:instrText xml:space="preserve"> PAGEREF _Toc8302 </w:instrText>
      </w:r>
      <w:r>
        <w:rPr>
          <w:color w:val="auto"/>
        </w:rPr>
        <w:fldChar w:fldCharType="separate"/>
      </w:r>
      <w:r>
        <w:rPr>
          <w:color w:val="auto"/>
        </w:rPr>
        <w:t>35</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1"/>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_Toc14548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lang w:val="en-US" w:eastAsia="zh-CN"/>
        </w:rPr>
        <w:t>附件及附图</w:t>
      </w:r>
      <w:r>
        <w:rPr>
          <w:color w:val="auto"/>
        </w:rPr>
        <w:tab/>
      </w:r>
      <w:r>
        <w:rPr>
          <w:color w:val="auto"/>
        </w:rPr>
        <w:fldChar w:fldCharType="begin"/>
      </w:r>
      <w:r>
        <w:rPr>
          <w:color w:val="auto"/>
        </w:rPr>
        <w:instrText xml:space="preserve"> PAGEREF _Toc14548 </w:instrText>
      </w:r>
      <w:r>
        <w:rPr>
          <w:color w:val="auto"/>
        </w:rPr>
        <w:fldChar w:fldCharType="separate"/>
      </w:r>
      <w:r>
        <w:rPr>
          <w:color w:val="auto"/>
        </w:rPr>
        <w:t>36</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_Toc1590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zh-CN"/>
        </w:rPr>
        <w:t>附件</w:t>
      </w:r>
      <w:r>
        <w:rPr>
          <w:rFonts w:hint="eastAsia" w:asciiTheme="minorEastAsia" w:hAnsiTheme="minorEastAsia" w:eastAsiaTheme="minorEastAsia" w:cstheme="minorEastAsia"/>
          <w:bCs/>
          <w:color w:val="auto"/>
          <w:szCs w:val="28"/>
          <w:lang w:val="en-US" w:eastAsia="zh-CN"/>
        </w:rPr>
        <w:t>一</w:t>
      </w:r>
      <w:r>
        <w:rPr>
          <w:rFonts w:hint="eastAsia" w:asciiTheme="minorEastAsia" w:hAnsiTheme="minorEastAsia" w:eastAsiaTheme="minorEastAsia" w:cstheme="minorEastAsia"/>
          <w:bCs/>
          <w:color w:val="auto"/>
          <w:szCs w:val="28"/>
          <w:lang w:val="zh-CN" w:eastAsia="zh-CN"/>
        </w:rPr>
        <w:t>：</w:t>
      </w:r>
      <w:r>
        <w:rPr>
          <w:rFonts w:hint="eastAsia" w:asciiTheme="minorEastAsia" w:hAnsiTheme="minorEastAsia" w:eastAsiaTheme="minorEastAsia" w:cstheme="minorEastAsia"/>
          <w:bCs/>
          <w:color w:val="auto"/>
          <w:szCs w:val="28"/>
          <w:lang w:val="zh-CN"/>
        </w:rPr>
        <w:t>饮用水水源地突发环境事件分级标准</w:t>
      </w:r>
      <w:r>
        <w:rPr>
          <w:color w:val="auto"/>
        </w:rPr>
        <w:tab/>
      </w:r>
      <w:r>
        <w:rPr>
          <w:color w:val="auto"/>
        </w:rPr>
        <w:fldChar w:fldCharType="begin"/>
      </w:r>
      <w:r>
        <w:rPr>
          <w:color w:val="auto"/>
        </w:rPr>
        <w:instrText xml:space="preserve"> PAGEREF _Toc1590 </w:instrText>
      </w:r>
      <w:r>
        <w:rPr>
          <w:color w:val="auto"/>
        </w:rPr>
        <w:fldChar w:fldCharType="separate"/>
      </w:r>
      <w:r>
        <w:rPr>
          <w:color w:val="auto"/>
        </w:rPr>
        <w:t>37</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_Toc17537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附件二：</w:t>
      </w:r>
      <w:r>
        <w:rPr>
          <w:rFonts w:hint="eastAsia" w:asciiTheme="minorEastAsia" w:hAnsiTheme="minorEastAsia" w:eastAsiaTheme="minorEastAsia" w:cstheme="minorEastAsia"/>
          <w:bCs/>
          <w:color w:val="auto"/>
          <w:szCs w:val="28"/>
          <w:lang w:val="zh-CN"/>
        </w:rPr>
        <w:t>应急组织机构联络方式</w:t>
      </w:r>
      <w:r>
        <w:rPr>
          <w:color w:val="auto"/>
        </w:rPr>
        <w:tab/>
      </w:r>
      <w:r>
        <w:rPr>
          <w:color w:val="auto"/>
        </w:rPr>
        <w:fldChar w:fldCharType="begin"/>
      </w:r>
      <w:r>
        <w:rPr>
          <w:color w:val="auto"/>
        </w:rPr>
        <w:instrText xml:space="preserve"> PAGEREF _Toc17537 </w:instrText>
      </w:r>
      <w:r>
        <w:rPr>
          <w:color w:val="auto"/>
        </w:rPr>
        <w:fldChar w:fldCharType="separate"/>
      </w:r>
      <w:r>
        <w:rPr>
          <w:color w:val="auto"/>
        </w:rPr>
        <w:t>38</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_Toc6076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附件三：外部救援机构联系电话</w:t>
      </w:r>
      <w:r>
        <w:rPr>
          <w:color w:val="auto"/>
        </w:rPr>
        <w:tab/>
      </w:r>
      <w:r>
        <w:rPr>
          <w:color w:val="auto"/>
        </w:rPr>
        <w:fldChar w:fldCharType="begin"/>
      </w:r>
      <w:r>
        <w:rPr>
          <w:color w:val="auto"/>
        </w:rPr>
        <w:instrText xml:space="preserve"> PAGEREF _Toc6076 </w:instrText>
      </w:r>
      <w:r>
        <w:rPr>
          <w:color w:val="auto"/>
        </w:rPr>
        <w:fldChar w:fldCharType="separate"/>
      </w:r>
      <w:r>
        <w:rPr>
          <w:color w:val="auto"/>
        </w:rPr>
        <w:t>39</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_Toc12136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zh-CN" w:eastAsia="zh-CN"/>
        </w:rPr>
        <w:t>附件</w:t>
      </w:r>
      <w:r>
        <w:rPr>
          <w:rFonts w:hint="eastAsia" w:asciiTheme="minorEastAsia" w:hAnsiTheme="minorEastAsia" w:eastAsiaTheme="minorEastAsia" w:cstheme="minorEastAsia"/>
          <w:bCs/>
          <w:color w:val="auto"/>
          <w:szCs w:val="28"/>
          <w:lang w:val="en-US" w:eastAsia="zh-CN"/>
        </w:rPr>
        <w:t>四：</w:t>
      </w:r>
      <w:r>
        <w:rPr>
          <w:rFonts w:hint="eastAsia" w:asciiTheme="minorEastAsia" w:hAnsiTheme="minorEastAsia" w:eastAsiaTheme="minorEastAsia" w:cstheme="minorEastAsia"/>
          <w:bCs/>
          <w:color w:val="auto"/>
          <w:szCs w:val="28"/>
          <w:lang w:val="zh-CN" w:eastAsia="zh-CN"/>
        </w:rPr>
        <w:t>应急救援物资一览表</w:t>
      </w:r>
      <w:r>
        <w:rPr>
          <w:color w:val="auto"/>
        </w:rPr>
        <w:tab/>
      </w:r>
      <w:r>
        <w:rPr>
          <w:color w:val="auto"/>
        </w:rPr>
        <w:fldChar w:fldCharType="begin"/>
      </w:r>
      <w:r>
        <w:rPr>
          <w:color w:val="auto"/>
        </w:rPr>
        <w:instrText xml:space="preserve"> PAGEREF _Toc12136 </w:instrText>
      </w:r>
      <w:r>
        <w:rPr>
          <w:color w:val="auto"/>
        </w:rPr>
        <w:fldChar w:fldCharType="separate"/>
      </w:r>
      <w:r>
        <w:rPr>
          <w:color w:val="auto"/>
        </w:rPr>
        <w:t>40</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_Toc16696 </w:instrText>
      </w:r>
      <w:r>
        <w:rPr>
          <w:rFonts w:hint="eastAsia" w:asciiTheme="minorEastAsia" w:hAnsiTheme="minorEastAsia" w:eastAsiaTheme="minorEastAsia" w:cstheme="minorEastAsia"/>
          <w:color w:val="auto"/>
          <w:szCs w:val="28"/>
          <w:lang w:val="en-US" w:eastAsia="zh-CN"/>
        </w:rPr>
        <w:fldChar w:fldCharType="separate"/>
      </w:r>
      <w:r>
        <w:rPr>
          <w:rFonts w:hint="eastAsia" w:ascii="宋体" w:hAnsi="宋体" w:eastAsia="宋体" w:cs="宋体"/>
          <w:bCs w:val="0"/>
          <w:color w:val="auto"/>
          <w:szCs w:val="28"/>
          <w:lang w:val="zh-CN" w:eastAsia="zh-CN"/>
        </w:rPr>
        <w:t>附</w:t>
      </w:r>
      <w:r>
        <w:rPr>
          <w:rFonts w:hint="eastAsia" w:ascii="宋体" w:hAnsi="宋体" w:eastAsia="宋体" w:cs="宋体"/>
          <w:bCs w:val="0"/>
          <w:color w:val="auto"/>
          <w:szCs w:val="28"/>
          <w:lang w:val="en-US" w:eastAsia="zh-CN"/>
        </w:rPr>
        <w:t>图一：</w:t>
      </w:r>
      <w:r>
        <w:rPr>
          <w:rFonts w:hint="eastAsia" w:ascii="宋体" w:hAnsi="宋体" w:eastAsia="宋体" w:cs="宋体"/>
          <w:bCs w:val="0"/>
          <w:color w:val="auto"/>
          <w:szCs w:val="28"/>
          <w:lang w:val="zh-CN" w:eastAsia="zh-CN"/>
        </w:rPr>
        <w:t>开州区</w:t>
      </w:r>
      <w:r>
        <w:rPr>
          <w:rFonts w:hint="eastAsia" w:cs="宋体"/>
          <w:bCs w:val="0"/>
          <w:color w:val="auto"/>
          <w:szCs w:val="28"/>
          <w:lang w:val="en-US" w:eastAsia="zh-CN"/>
        </w:rPr>
        <w:t>白水村黄金河</w:t>
      </w:r>
      <w:r>
        <w:rPr>
          <w:rFonts w:hint="eastAsia" w:cs="宋体"/>
          <w:bCs w:val="0"/>
          <w:color w:val="auto"/>
          <w:szCs w:val="28"/>
          <w:lang w:val="zh-CN" w:eastAsia="zh-CN"/>
        </w:rPr>
        <w:t>集中式地表水饮用水水源地</w:t>
      </w:r>
      <w:r>
        <w:rPr>
          <w:rFonts w:hint="eastAsia" w:ascii="宋体" w:hAnsi="宋体" w:eastAsia="宋体" w:cs="宋体"/>
          <w:bCs w:val="0"/>
          <w:color w:val="auto"/>
          <w:szCs w:val="28"/>
          <w:lang w:val="zh-CN" w:eastAsia="zh-CN"/>
        </w:rPr>
        <w:t>地理位置图</w:t>
      </w:r>
      <w:r>
        <w:rPr>
          <w:color w:val="auto"/>
        </w:rPr>
        <w:tab/>
      </w:r>
      <w:r>
        <w:rPr>
          <w:color w:val="auto"/>
        </w:rPr>
        <w:fldChar w:fldCharType="begin"/>
      </w:r>
      <w:r>
        <w:rPr>
          <w:color w:val="auto"/>
        </w:rPr>
        <w:instrText xml:space="preserve"> PAGEREF _Toc16696 </w:instrText>
      </w:r>
      <w:r>
        <w:rPr>
          <w:color w:val="auto"/>
        </w:rPr>
        <w:fldChar w:fldCharType="separate"/>
      </w:r>
      <w:r>
        <w:rPr>
          <w:color w:val="auto"/>
        </w:rPr>
        <w:t>41</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_Toc6779 </w:instrText>
      </w:r>
      <w:r>
        <w:rPr>
          <w:rFonts w:hint="eastAsia" w:asciiTheme="minorEastAsia" w:hAnsiTheme="minorEastAsia" w:eastAsiaTheme="minorEastAsia" w:cstheme="minorEastAsia"/>
          <w:color w:val="auto"/>
          <w:szCs w:val="28"/>
          <w:lang w:val="en-US" w:eastAsia="zh-CN"/>
        </w:rPr>
        <w:fldChar w:fldCharType="separate"/>
      </w:r>
      <w:r>
        <w:rPr>
          <w:rFonts w:hint="eastAsia" w:ascii="宋体" w:hAnsi="宋体" w:eastAsia="宋体" w:cs="宋体"/>
          <w:bCs w:val="0"/>
          <w:color w:val="auto"/>
          <w:szCs w:val="28"/>
          <w:lang w:val="zh-CN" w:eastAsia="zh-CN" w:bidi="zh-CN"/>
        </w:rPr>
        <w:t>附</w:t>
      </w:r>
      <w:r>
        <w:rPr>
          <w:rFonts w:hint="eastAsia" w:ascii="宋体" w:hAnsi="宋体" w:eastAsia="宋体" w:cs="宋体"/>
          <w:bCs w:val="0"/>
          <w:color w:val="auto"/>
          <w:szCs w:val="28"/>
          <w:lang w:val="en-US" w:eastAsia="zh-CN" w:bidi="zh-CN"/>
        </w:rPr>
        <w:t>图二：</w:t>
      </w:r>
      <w:r>
        <w:rPr>
          <w:rFonts w:hint="eastAsia" w:ascii="宋体" w:hAnsi="宋体" w:eastAsia="宋体" w:cs="宋体"/>
          <w:bCs w:val="0"/>
          <w:color w:val="auto"/>
          <w:szCs w:val="28"/>
          <w:lang w:val="zh-CN" w:eastAsia="zh-CN" w:bidi="zh-CN"/>
        </w:rPr>
        <w:t>开州区</w:t>
      </w:r>
      <w:r>
        <w:rPr>
          <w:rFonts w:hint="eastAsia" w:cs="宋体"/>
          <w:bCs w:val="0"/>
          <w:color w:val="auto"/>
          <w:szCs w:val="28"/>
          <w:lang w:val="en-US" w:eastAsia="zh-CN" w:bidi="zh-CN"/>
        </w:rPr>
        <w:t>白水村黄金河</w:t>
      </w:r>
      <w:r>
        <w:rPr>
          <w:rFonts w:hint="eastAsia" w:ascii="宋体" w:hAnsi="宋体" w:eastAsia="宋体" w:cs="宋体"/>
          <w:bCs w:val="0"/>
          <w:color w:val="auto"/>
          <w:szCs w:val="28"/>
          <w:lang w:val="zh-CN" w:eastAsia="zh-CN" w:bidi="zh-CN"/>
        </w:rPr>
        <w:t>集中式地表水饮用水水源地</w:t>
      </w:r>
      <w:r>
        <w:rPr>
          <w:rFonts w:hint="eastAsia" w:ascii="宋体" w:hAnsi="宋体" w:eastAsia="宋体" w:cs="宋体"/>
          <w:bCs w:val="0"/>
          <w:color w:val="auto"/>
          <w:szCs w:val="28"/>
          <w:lang w:val="en-US" w:eastAsia="zh-CN" w:bidi="zh-CN"/>
        </w:rPr>
        <w:t>保护区域范围图</w:t>
      </w:r>
      <w:r>
        <w:rPr>
          <w:color w:val="auto"/>
        </w:rPr>
        <w:tab/>
      </w:r>
      <w:r>
        <w:rPr>
          <w:color w:val="auto"/>
        </w:rPr>
        <w:fldChar w:fldCharType="begin"/>
      </w:r>
      <w:r>
        <w:rPr>
          <w:color w:val="auto"/>
        </w:rPr>
        <w:instrText xml:space="preserve"> PAGEREF _Toc6779 </w:instrText>
      </w:r>
      <w:r>
        <w:rPr>
          <w:color w:val="auto"/>
        </w:rPr>
        <w:fldChar w:fldCharType="separate"/>
      </w:r>
      <w:r>
        <w:rPr>
          <w:color w:val="auto"/>
        </w:rPr>
        <w:t>42</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_Toc22284 </w:instrText>
      </w:r>
      <w:r>
        <w:rPr>
          <w:rFonts w:hint="eastAsia" w:asciiTheme="minorEastAsia" w:hAnsiTheme="minorEastAsia" w:eastAsiaTheme="minorEastAsia" w:cstheme="minorEastAsia"/>
          <w:color w:val="auto"/>
          <w:szCs w:val="28"/>
          <w:lang w:val="en-US" w:eastAsia="zh-CN"/>
        </w:rPr>
        <w:fldChar w:fldCharType="separate"/>
      </w:r>
      <w:r>
        <w:rPr>
          <w:rFonts w:hint="eastAsia" w:ascii="宋体" w:hAnsi="宋体" w:eastAsia="宋体" w:cs="宋体"/>
          <w:bCs w:val="0"/>
          <w:color w:val="auto"/>
          <w:szCs w:val="28"/>
          <w:lang w:val="en-US" w:eastAsia="zh-CN"/>
        </w:rPr>
        <w:t>附图</w:t>
      </w:r>
      <w:r>
        <w:rPr>
          <w:rFonts w:hint="eastAsia" w:cs="宋体"/>
          <w:bCs w:val="0"/>
          <w:color w:val="auto"/>
          <w:szCs w:val="28"/>
          <w:lang w:val="en-US" w:eastAsia="zh-CN"/>
        </w:rPr>
        <w:t>三</w:t>
      </w:r>
      <w:r>
        <w:rPr>
          <w:rFonts w:hint="eastAsia" w:ascii="宋体" w:hAnsi="宋体" w:eastAsia="宋体" w:cs="宋体"/>
          <w:bCs w:val="0"/>
          <w:color w:val="auto"/>
          <w:szCs w:val="28"/>
          <w:lang w:val="en-US" w:eastAsia="zh-CN"/>
        </w:rPr>
        <w:t>：开州区</w:t>
      </w:r>
      <w:r>
        <w:rPr>
          <w:rFonts w:hint="eastAsia" w:cs="宋体"/>
          <w:bCs w:val="0"/>
          <w:color w:val="auto"/>
          <w:szCs w:val="28"/>
          <w:lang w:val="en-US" w:eastAsia="zh-CN"/>
        </w:rPr>
        <w:t>白水村黄金河</w:t>
      </w:r>
      <w:r>
        <w:rPr>
          <w:rFonts w:hint="eastAsia" w:ascii="宋体" w:hAnsi="宋体" w:eastAsia="宋体" w:cs="宋体"/>
          <w:bCs w:val="0"/>
          <w:color w:val="auto"/>
          <w:szCs w:val="28"/>
          <w:lang w:val="en-US" w:eastAsia="zh-CN"/>
        </w:rPr>
        <w:t>供水区域图</w:t>
      </w:r>
      <w:r>
        <w:rPr>
          <w:color w:val="auto"/>
        </w:rPr>
        <w:tab/>
      </w:r>
      <w:r>
        <w:rPr>
          <w:color w:val="auto"/>
        </w:rPr>
        <w:fldChar w:fldCharType="begin"/>
      </w:r>
      <w:r>
        <w:rPr>
          <w:color w:val="auto"/>
        </w:rPr>
        <w:instrText xml:space="preserve"> PAGEREF _Toc22284 </w:instrText>
      </w:r>
      <w:r>
        <w:rPr>
          <w:color w:val="auto"/>
        </w:rPr>
        <w:fldChar w:fldCharType="separate"/>
      </w:r>
      <w:r>
        <w:rPr>
          <w:color w:val="auto"/>
        </w:rPr>
        <w:t>43</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_Toc11005 </w:instrText>
      </w:r>
      <w:r>
        <w:rPr>
          <w:rFonts w:hint="eastAsia" w:asciiTheme="minorEastAsia" w:hAnsiTheme="minorEastAsia" w:eastAsiaTheme="minorEastAsia" w:cstheme="minorEastAsia"/>
          <w:color w:val="auto"/>
          <w:szCs w:val="28"/>
          <w:lang w:val="en-US" w:eastAsia="zh-CN"/>
        </w:rPr>
        <w:fldChar w:fldCharType="separate"/>
      </w:r>
      <w:r>
        <w:rPr>
          <w:rFonts w:hint="eastAsia" w:cs="宋体"/>
          <w:bCs w:val="0"/>
          <w:color w:val="auto"/>
          <w:szCs w:val="28"/>
          <w:lang w:val="en-US" w:eastAsia="zh-CN"/>
        </w:rPr>
        <w:t>附图四：开州区水系图</w:t>
      </w:r>
      <w:r>
        <w:rPr>
          <w:color w:val="auto"/>
        </w:rPr>
        <w:tab/>
      </w:r>
      <w:r>
        <w:rPr>
          <w:color w:val="auto"/>
        </w:rPr>
        <w:fldChar w:fldCharType="begin"/>
      </w:r>
      <w:r>
        <w:rPr>
          <w:color w:val="auto"/>
        </w:rPr>
        <w:instrText xml:space="preserve"> PAGEREF _Toc11005 </w:instrText>
      </w:r>
      <w:r>
        <w:rPr>
          <w:color w:val="auto"/>
        </w:rPr>
        <w:fldChar w:fldCharType="separate"/>
      </w:r>
      <w:r>
        <w:rPr>
          <w:color w:val="auto"/>
        </w:rPr>
        <w:t>44</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_Toc10794 </w:instrText>
      </w:r>
      <w:r>
        <w:rPr>
          <w:rFonts w:hint="eastAsia" w:asciiTheme="minorEastAsia" w:hAnsiTheme="minorEastAsia" w:eastAsiaTheme="minorEastAsia" w:cstheme="minorEastAsia"/>
          <w:color w:val="auto"/>
          <w:szCs w:val="28"/>
          <w:lang w:val="en-US" w:eastAsia="zh-CN"/>
        </w:rPr>
        <w:fldChar w:fldCharType="separate"/>
      </w:r>
      <w:r>
        <w:rPr>
          <w:rFonts w:hint="eastAsia" w:cs="宋体"/>
          <w:bCs w:val="0"/>
          <w:color w:val="auto"/>
          <w:szCs w:val="28"/>
          <w:lang w:val="en-US" w:eastAsia="zh-CN"/>
        </w:rPr>
        <w:t>附图五：开州区地图</w:t>
      </w:r>
      <w:r>
        <w:rPr>
          <w:color w:val="auto"/>
        </w:rPr>
        <w:tab/>
      </w:r>
      <w:r>
        <w:rPr>
          <w:color w:val="auto"/>
        </w:rPr>
        <w:fldChar w:fldCharType="begin"/>
      </w:r>
      <w:r>
        <w:rPr>
          <w:color w:val="auto"/>
        </w:rPr>
        <w:instrText xml:space="preserve"> PAGEREF _Toc10794 </w:instrText>
      </w:r>
      <w:r>
        <w:rPr>
          <w:color w:val="auto"/>
        </w:rPr>
        <w:fldChar w:fldCharType="separate"/>
      </w:r>
      <w:r>
        <w:rPr>
          <w:color w:val="auto"/>
        </w:rPr>
        <w:t>45</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Cs w:val="28"/>
          <w:lang w:val="en-US" w:eastAsia="zh-CN"/>
        </w:rPr>
        <w:fldChar w:fldCharType="end"/>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rPr>
        <w:sectPr>
          <w:headerReference r:id="rId8" w:type="default"/>
          <w:footerReference r:id="rId9" w:type="default"/>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bookmarkStart w:id="0" w:name="_Toc26427_WPSOffice_Level1"/>
      <w:bookmarkStart w:id="1" w:name="_Toc27502_WPSOffice_Level1"/>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color w:val="auto"/>
          <w:sz w:val="32"/>
          <w:szCs w:val="32"/>
        </w:rPr>
      </w:pPr>
      <w:bookmarkStart w:id="2" w:name="_Toc8318"/>
      <w:r>
        <w:rPr>
          <w:rFonts w:hint="eastAsia" w:asciiTheme="minorEastAsia" w:hAnsiTheme="minorEastAsia" w:eastAsiaTheme="minorEastAsia" w:cstheme="minorEastAsia"/>
          <w:b/>
          <w:bCs/>
          <w:color w:val="auto"/>
          <w:sz w:val="32"/>
          <w:szCs w:val="32"/>
        </w:rPr>
        <w:t>1 总则</w:t>
      </w:r>
      <w:bookmarkEnd w:id="0"/>
      <w:bookmarkEnd w:id="1"/>
      <w:bookmarkEnd w:id="2"/>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3" w:name="_Toc29726"/>
      <w:bookmarkStart w:id="4" w:name="_Toc2078_WPSOffice_Level2"/>
      <w:bookmarkStart w:id="5" w:name="_Toc15488_WPSOffice_Level2"/>
      <w:bookmarkStart w:id="6" w:name="_Toc294080707"/>
      <w:bookmarkStart w:id="7" w:name="_Toc13902_WPSOffice_Level2"/>
      <w:bookmarkStart w:id="8" w:name="_Toc21852"/>
      <w:bookmarkStart w:id="9" w:name="_Toc295467913"/>
      <w:bookmarkStart w:id="10" w:name="_Toc17343_WPSOffice_Level2"/>
      <w:r>
        <w:rPr>
          <w:rFonts w:hint="eastAsia" w:asciiTheme="minorEastAsia" w:hAnsiTheme="minorEastAsia" w:eastAsiaTheme="minorEastAsia" w:cstheme="minorEastAsia"/>
          <w:b/>
          <w:bCs/>
          <w:color w:val="auto"/>
          <w:sz w:val="28"/>
          <w:szCs w:val="28"/>
          <w:lang w:val="zh-CN"/>
        </w:rPr>
        <w:t>1.1 编制目的</w:t>
      </w:r>
      <w:bookmarkEnd w:id="3"/>
      <w:bookmarkEnd w:id="4"/>
      <w:bookmarkEnd w:id="5"/>
      <w:bookmarkEnd w:id="6"/>
      <w:bookmarkEnd w:id="7"/>
      <w:bookmarkEnd w:id="8"/>
      <w:bookmarkEnd w:id="9"/>
      <w:bookmarkEnd w:id="10"/>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bookmarkStart w:id="11" w:name="_Toc31986_WPSOffice_Level2"/>
      <w:bookmarkStart w:id="12" w:name="_Toc11301_WPSOffice_Level2"/>
      <w:bookmarkStart w:id="13" w:name="_Toc19232_WPSOffice_Level2"/>
      <w:bookmarkStart w:id="14" w:name="_Toc294080708"/>
      <w:bookmarkStart w:id="15" w:name="_Toc295467914"/>
      <w:bookmarkStart w:id="16" w:name="_Toc25354"/>
      <w:bookmarkStart w:id="17" w:name="_Toc13297_WPSOffice_Level2"/>
      <w:r>
        <w:rPr>
          <w:rFonts w:hint="eastAsia" w:asciiTheme="minorEastAsia" w:hAnsiTheme="minorEastAsia" w:eastAsiaTheme="minorEastAsia" w:cstheme="minorEastAsia"/>
          <w:color w:val="auto"/>
          <w:sz w:val="28"/>
          <w:szCs w:val="28"/>
          <w:lang w:val="en-US" w:eastAsia="zh-CN"/>
        </w:rPr>
        <w:t>为建立健全水环境污染事件应急机制，有效预防和减少突发环境事件的发生，快速、科学地进行突发环境事件的应急处置，全面提高应对白水村黄金河集中式地表水饮用水水源地（以下简称水源地）突发环境事件的能力，有效应对辖区内水源地突发环境事件，最大程度降低突发环境事件对水源地水质影响，规范水源地突发环境事件应对的各项工作，特制定本预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18" w:name="_Toc31055"/>
      <w:r>
        <w:rPr>
          <w:rFonts w:hint="eastAsia" w:asciiTheme="minorEastAsia" w:hAnsiTheme="minorEastAsia" w:eastAsiaTheme="minorEastAsia" w:cstheme="minorEastAsia"/>
          <w:b/>
          <w:bCs/>
          <w:color w:val="auto"/>
          <w:sz w:val="28"/>
          <w:szCs w:val="28"/>
          <w:lang w:val="zh-CN"/>
        </w:rPr>
        <w:t>1.2 编制依据</w:t>
      </w:r>
      <w:bookmarkEnd w:id="11"/>
      <w:bookmarkEnd w:id="12"/>
      <w:bookmarkEnd w:id="13"/>
      <w:bookmarkEnd w:id="14"/>
      <w:bookmarkEnd w:id="15"/>
      <w:bookmarkEnd w:id="16"/>
      <w:bookmarkEnd w:id="17"/>
      <w:bookmarkEnd w:id="18"/>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zh-CN"/>
        </w:rPr>
      </w:pPr>
      <w:r>
        <w:rPr>
          <w:rFonts w:hint="eastAsia" w:asciiTheme="minorEastAsia" w:hAnsiTheme="minorEastAsia" w:eastAsiaTheme="minorEastAsia" w:cstheme="minorEastAsia"/>
          <w:b/>
          <w:bCs/>
          <w:color w:val="auto"/>
          <w:sz w:val="28"/>
          <w:szCs w:val="28"/>
          <w:lang w:val="zh-CN"/>
        </w:rPr>
        <w:t>1.2.1</w:t>
      </w:r>
      <w:r>
        <w:rPr>
          <w:rFonts w:hint="eastAsia" w:asciiTheme="minorEastAsia" w:hAnsiTheme="minorEastAsia" w:eastAsiaTheme="minorEastAsia" w:cstheme="minorEastAsia"/>
          <w:b/>
          <w:bCs/>
          <w:color w:val="auto"/>
          <w:sz w:val="28"/>
          <w:szCs w:val="28"/>
          <w:lang w:val="en-US" w:eastAsia="zh-CN"/>
        </w:rPr>
        <w:t xml:space="preserve"> </w:t>
      </w:r>
      <w:r>
        <w:rPr>
          <w:rFonts w:hint="eastAsia" w:asciiTheme="minorEastAsia" w:hAnsiTheme="minorEastAsia" w:eastAsiaTheme="minorEastAsia" w:cstheme="minorEastAsia"/>
          <w:b/>
          <w:bCs/>
          <w:color w:val="auto"/>
          <w:sz w:val="28"/>
          <w:szCs w:val="28"/>
          <w:lang w:val="zh-CN"/>
        </w:rPr>
        <w:t>法律及法规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1）《中华人民共和国突发事件应对法》（主席令第69号，2007-11-01）；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2）《中华人民共和国环境保护法》  （主席令第9号，2015-01-01）；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3）《中华人民共和国水污染防治法》（主席令第70号，2018-01-01）；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4）《国家环境保护局、卫生部、建设部、水利部、地矿部饮用水水源保护区污染防治管理规定》（2010 年修正）；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5）《国务院办公厅关于印发〈突发事件应急预案管理办法〉的通知》（国办发﹝2013﹞101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6）《国务院办公厅关于印发〈国家突发环境事件应急预案〉的通知》（国办函﹝2014﹞119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7）《环境保护部关于印发〈企业事业单位突发环境事件应急预案备案管理办法（试行）〉的通知》（环发﹝2015﹞4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8）《环境保护部办公厅关于印发〈集中式地表饮用水水源地环境应急管理工作指南〉的通知》（环办﹝2011﹞93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9）《环境保护部办公厅关于印发〈集中式饮用水水源环境保护指南（试行）〉的通知》（环办〔2012〕50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10）《环境保护部办公厅关于印发〈行政区域突发环境事件风险评估推荐方法〉的通知》（环办应急﹝2018﹞9号）；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11）《生态环境部集中式地表水饮用水水源地突发环境事件应急预案编制指南（试行）》（生态环境部公告 2018年第1号）；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12）《环境保护部突发环境事件信息报告办法》（环境保护部令第 17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13）《环境保护部突发环境事件应急管理办法》（环境保护部令第 34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14）《重庆市突发事件应对条例》（重庆市人民代表大会常务委员会公告[2012]9号，2012-07-01）；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15）《重庆市环境保护条例》（重庆市人民代表大会常务委员会公告〔2017〕第11号，2017-06-01）。</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zh-CN"/>
        </w:rPr>
      </w:pPr>
      <w:r>
        <w:rPr>
          <w:rFonts w:hint="eastAsia" w:asciiTheme="minorEastAsia" w:hAnsiTheme="minorEastAsia" w:eastAsiaTheme="minorEastAsia" w:cstheme="minorEastAsia"/>
          <w:b/>
          <w:bCs/>
          <w:color w:val="auto"/>
          <w:sz w:val="28"/>
          <w:szCs w:val="28"/>
          <w:lang w:val="en-US" w:eastAsia="zh-CN"/>
        </w:rPr>
        <w:t>1.2.2</w:t>
      </w:r>
      <w:r>
        <w:rPr>
          <w:rFonts w:hint="eastAsia" w:asciiTheme="minorEastAsia" w:hAnsiTheme="minorEastAsia" w:eastAsiaTheme="minorEastAsia" w:cstheme="minorEastAsia"/>
          <w:b/>
          <w:bCs/>
          <w:color w:val="auto"/>
          <w:sz w:val="28"/>
          <w:szCs w:val="28"/>
          <w:lang w:val="zh-CN"/>
        </w:rPr>
        <w:t>技术标准规范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1）《地表水环境质量标准》（GB3838—2002）；</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2）《地下水质量标准》（GB/T14848—2017）；</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3）《突发环境事件应急监测技术规范》（HJ589—2010）；</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4）《集中式饮用水水源地规范化建设环境保护技术要求》（HJ773—2015）；</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5）《企业突发环境事件风险分级方法》（HJ941—2018）。</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1.2.3其他资料</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1）《重庆市人民政府关于印发〈重庆市饮用水水源保护区划分规定〉的通知》（渝府发〔2002〕83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2）《重庆市人民政府办公厅关于调整万州区等 31 个区县（自治县）集中式饮用水水源保护区的通知》（渝府办〔2013〕40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3）《重庆市人民政府办公厅关于调整万州区等 36 个区县（自治县）集中式饮用水水源保护区的通知》（渝府办〔2016〕19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4）《重庆市人民政府办公厅关于印发万州区等区县（开发区）集中式饮用水水源地保护区划分及调整方案的通知》（渝府 办〔2018〕7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19" w:name="_Toc13441"/>
      <w:r>
        <w:rPr>
          <w:rFonts w:hint="eastAsia" w:asciiTheme="minorEastAsia" w:hAnsiTheme="minorEastAsia" w:eastAsiaTheme="minorEastAsia" w:cstheme="minorEastAsia"/>
          <w:b/>
          <w:bCs/>
          <w:color w:val="auto"/>
          <w:sz w:val="28"/>
          <w:szCs w:val="28"/>
          <w:lang w:val="en-US" w:eastAsia="zh-CN"/>
        </w:rPr>
        <w:t>1.3 适用范围</w:t>
      </w:r>
      <w:bookmarkEnd w:id="19"/>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本预案适用于白水村黄金河饮用水源地及其取水点，因环境威胁或造成饮用水源地取水中断的突发事件的预警、控制和应急处置。饮用水源突发环境事件包括：</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1）生物性污染：一切以水源为传播途径的致病微生物和寄生虫等污染饮用水源，由此可能导致或已经出现腹泻、伤寒、霍乱、甲型肝炎等肠道传染病暴发流行的污染事件。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2）化学性污染。一切剧毒、有毒、有害化学物品(如氰化物、砷、汞、Cr6+、亚硝酸盐、农药、氨氮、石油类、磷等)污染饮用水源事件，可能损害人体健康甚至危及生命。</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3）其他突发性环境水污染事故。如干旱、洪水、季节性断流等。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shd w:val="clear" w:color="auto" w:fill="auto"/>
          <w:lang w:val="zh-CN" w:eastAsia="zh-CN"/>
        </w:rPr>
      </w:pPr>
      <w:bookmarkStart w:id="20" w:name="_Toc439"/>
      <w:bookmarkStart w:id="21" w:name="_Toc28536_WPSOffice_Level2"/>
      <w:bookmarkStart w:id="22" w:name="_Toc11439_WPSOffice_Level2"/>
      <w:bookmarkStart w:id="23" w:name="_Toc30067_WPSOffice_Level2"/>
      <w:bookmarkStart w:id="24" w:name="_Toc19006"/>
      <w:bookmarkStart w:id="25" w:name="_Toc2498_WPSOffice_Level2"/>
      <w:r>
        <w:rPr>
          <w:rFonts w:hint="eastAsia" w:asciiTheme="minorEastAsia" w:hAnsiTheme="minorEastAsia" w:eastAsiaTheme="minorEastAsia" w:cstheme="minorEastAsia"/>
          <w:b/>
          <w:bCs/>
          <w:color w:val="auto"/>
          <w:sz w:val="28"/>
          <w:szCs w:val="28"/>
          <w:shd w:val="clear" w:color="auto" w:fill="auto"/>
          <w:lang w:val="zh-CN" w:eastAsia="zh-CN"/>
        </w:rPr>
        <w:t>1.</w:t>
      </w:r>
      <w:r>
        <w:rPr>
          <w:rFonts w:hint="eastAsia" w:asciiTheme="minorEastAsia" w:hAnsiTheme="minorEastAsia" w:eastAsiaTheme="minorEastAsia" w:cstheme="minorEastAsia"/>
          <w:b/>
          <w:bCs/>
          <w:color w:val="auto"/>
          <w:sz w:val="28"/>
          <w:szCs w:val="28"/>
          <w:shd w:val="clear" w:color="auto" w:fill="auto"/>
          <w:lang w:val="en-US" w:eastAsia="zh-CN"/>
        </w:rPr>
        <w:t>4</w:t>
      </w:r>
      <w:r>
        <w:rPr>
          <w:rFonts w:hint="eastAsia" w:asciiTheme="minorEastAsia" w:hAnsiTheme="minorEastAsia" w:eastAsiaTheme="minorEastAsia" w:cstheme="minorEastAsia"/>
          <w:b/>
          <w:bCs/>
          <w:color w:val="auto"/>
          <w:sz w:val="28"/>
          <w:szCs w:val="28"/>
          <w:shd w:val="clear" w:color="auto" w:fill="auto"/>
          <w:lang w:val="zh-CN" w:eastAsia="zh-CN"/>
        </w:rPr>
        <w:t xml:space="preserve"> 应急预案体系</w:t>
      </w:r>
      <w:bookmarkEnd w:id="20"/>
      <w:bookmarkEnd w:id="21"/>
      <w:bookmarkEnd w:id="22"/>
      <w:bookmarkEnd w:id="23"/>
      <w:bookmarkEnd w:id="24"/>
      <w:bookmarkEnd w:id="25"/>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shd w:val="clear" w:color="auto" w:fill="auto"/>
          <w:lang w:val="en-US" w:eastAsia="zh-CN"/>
        </w:rPr>
        <w:t>本预案为《重庆市开州区白水村黄金河饮用水水源地突发环境事件应急预案》，该预案和《重庆市开州区饮用水水源地突发环境事件应急预案》</w:t>
      </w:r>
      <w:r>
        <w:rPr>
          <w:rFonts w:hint="eastAsia" w:asciiTheme="minorEastAsia" w:hAnsiTheme="minorEastAsia" w:eastAsiaTheme="minorEastAsia" w:cstheme="minorEastAsia"/>
          <w:color w:val="auto"/>
          <w:sz w:val="28"/>
          <w:szCs w:val="28"/>
          <w:lang w:val="en-US" w:eastAsia="zh-CN"/>
        </w:rPr>
        <w:t>相衔接。</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应急预案体系组成结构见：图1.5-1。</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zh-CN" w:eastAsia="zh-CN"/>
        </w:rPr>
      </w:pPr>
      <w:r>
        <w:rPr>
          <w:sz w:val="28"/>
        </w:rPr>
        <mc:AlternateContent>
          <mc:Choice Requires="wpg">
            <w:drawing>
              <wp:anchor distT="0" distB="0" distL="114300" distR="114300" simplePos="0" relativeHeight="251670528" behindDoc="0" locked="0" layoutInCell="1" allowOverlap="1">
                <wp:simplePos x="0" y="0"/>
                <wp:positionH relativeFrom="column">
                  <wp:posOffset>768350</wp:posOffset>
                </wp:positionH>
                <wp:positionV relativeFrom="paragraph">
                  <wp:posOffset>72390</wp:posOffset>
                </wp:positionV>
                <wp:extent cx="4320540" cy="1580515"/>
                <wp:effectExtent l="6350" t="4445" r="16510" b="15240"/>
                <wp:wrapNone/>
                <wp:docPr id="8" name="组合 8"/>
                <wp:cNvGraphicFramePr/>
                <a:graphic xmlns:a="http://schemas.openxmlformats.org/drawingml/2006/main">
                  <a:graphicData uri="http://schemas.microsoft.com/office/word/2010/wordprocessingGroup">
                    <wpg:wgp>
                      <wpg:cNvGrpSpPr/>
                      <wpg:grpSpPr>
                        <a:xfrm>
                          <a:off x="0" y="0"/>
                          <a:ext cx="4320540" cy="1580515"/>
                          <a:chOff x="8969" y="126052"/>
                          <a:chExt cx="6804" cy="2489"/>
                        </a:xfrm>
                      </wpg:grpSpPr>
                      <wps:wsp>
                        <wps:cNvPr id="27" name="矩形 27"/>
                        <wps:cNvSpPr/>
                        <wps:spPr>
                          <a:xfrm>
                            <a:off x="9108" y="126052"/>
                            <a:ext cx="6540" cy="52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eastAsia="宋体"/>
                                  <w:lang w:eastAsia="zh-CN"/>
                                </w:rPr>
                              </w:pPr>
                              <w:r>
                                <w:rPr>
                                  <w:rFonts w:hint="eastAsia" w:ascii="宋体" w:hAnsi="宋体"/>
                                  <w:lang w:eastAsia="zh-CN"/>
                                </w:rPr>
                                <w:t>《</w:t>
                              </w:r>
                              <w:r>
                                <w:rPr>
                                  <w:rFonts w:hint="eastAsia" w:ascii="宋体" w:hAnsi="宋体"/>
                                </w:rPr>
                                <w:t>重庆市开州区饮用水水源地突发环境</w:t>
                              </w:r>
                              <w:r>
                                <w:t>事件应急预案</w:t>
                              </w:r>
                              <w:r>
                                <w:rPr>
                                  <w:rFonts w:hint="eastAsia"/>
                                  <w:lang w:eastAsia="zh-CN"/>
                                </w:rPr>
                                <w:t>》</w:t>
                              </w:r>
                            </w:p>
                          </w:txbxContent>
                        </wps:txbx>
                        <wps:bodyPr upright="1"/>
                      </wps:wsp>
                      <wps:wsp>
                        <wps:cNvPr id="2" name="直接箭头连接符 2"/>
                        <wps:cNvCnPr/>
                        <wps:spPr>
                          <a:xfrm flipH="1" flipV="1">
                            <a:off x="12378" y="126621"/>
                            <a:ext cx="31" cy="1163"/>
                          </a:xfrm>
                          <a:prstGeom prst="straightConnector1">
                            <a:avLst/>
                          </a:prstGeom>
                          <a:noFill/>
                          <a:ln w="6350" cap="flat" cmpd="sng" algn="ctr">
                            <a:solidFill>
                              <a:srgbClr val="000000"/>
                            </a:solidFill>
                            <a:prstDash val="solid"/>
                            <a:miter lim="800000"/>
                            <a:tailEnd type="arrow" w="med" len="med"/>
                          </a:ln>
                          <a:effectLst/>
                        </wps:spPr>
                        <wps:bodyPr/>
                      </wps:wsp>
                      <wps:wsp>
                        <wps:cNvPr id="3" name="矩形 3"/>
                        <wps:cNvSpPr/>
                        <wps:spPr>
                          <a:xfrm>
                            <a:off x="8969" y="127775"/>
                            <a:ext cx="6805" cy="766"/>
                          </a:xfrm>
                          <a:prstGeom prst="rect">
                            <a:avLst/>
                          </a:prstGeom>
                          <a:solidFill>
                            <a:srgbClr val="FFFFFF"/>
                          </a:solidFill>
                          <a:ln w="12700" cap="flat" cmpd="sng" algn="ctr">
                            <a:solidFill>
                              <a:srgbClr val="000000"/>
                            </a:solidFill>
                            <a:prstDash val="solid"/>
                            <a:miter lim="800000"/>
                          </a:ln>
                          <a:effectLst/>
                        </wps:spPr>
                        <wps:txbx>
                          <w:txbxContent>
                            <w:p>
                              <w:pPr>
                                <w:jc w:val="center"/>
                                <w:rPr>
                                  <w:rFonts w:cs="Times New Roman"/>
                                </w:rPr>
                              </w:pPr>
                              <w:r>
                                <w:rPr>
                                  <w:rFonts w:hint="eastAsia" w:cs="Times New Roman"/>
                                  <w:lang w:eastAsia="zh-CN"/>
                                </w:rPr>
                                <w:t>《</w:t>
                              </w:r>
                              <w:r>
                                <w:rPr>
                                  <w:rFonts w:cs="Times New Roman"/>
                                </w:rPr>
                                <w:t>重庆市开州区</w:t>
                              </w:r>
                              <w:r>
                                <w:rPr>
                                  <w:rFonts w:hint="eastAsia" w:cs="Times New Roman"/>
                                  <w:lang w:val="en-US" w:eastAsia="zh-CN"/>
                                </w:rPr>
                                <w:t>白水村黄金河集中式地表水</w:t>
                              </w:r>
                              <w:r>
                                <w:rPr>
                                  <w:rFonts w:cs="Times New Roman"/>
                                </w:rPr>
                                <w:t>饮用水水源地突发环境事件应急预案</w:t>
                              </w:r>
                              <w:r>
                                <w:rPr>
                                  <w:rFonts w:hint="eastAsia" w:cs="Times New Roman"/>
                                  <w:lang w:eastAsia="zh-CN"/>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文本框 26"/>
                        <wps:cNvSpPr txBox="1"/>
                        <wps:spPr>
                          <a:xfrm>
                            <a:off x="12575" y="126846"/>
                            <a:ext cx="1095" cy="4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衔接</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60.5pt;margin-top:5.7pt;height:124.45pt;width:340.2pt;z-index:251670528;mso-width-relative:page;mso-height-relative:page;" coordorigin="8969,126052" coordsize="6804,2489" o:gfxdata="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">
                <o:lock v:ext="edit" aspectratio="f"/>
                <v:rect id="_x0000_s1026" o:spid="_x0000_s1026" o:spt="1" style="position:absolute;left:9108;top:126052;height:527;width:6540;" fillcolor="#FFFFFF" filled="t" stroked="t" coordsize="21600,21600" o:gfxdata="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GUxY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宋体"/>
                            <w:lang w:eastAsia="zh-CN"/>
                          </w:rPr>
                        </w:pPr>
                        <w:r>
                          <w:rPr>
                            <w:rFonts w:hint="eastAsia" w:ascii="宋体" w:hAnsi="宋体"/>
                            <w:lang w:eastAsia="zh-CN"/>
                          </w:rPr>
                          <w:t>《</w:t>
                        </w:r>
                        <w:r>
                          <w:rPr>
                            <w:rFonts w:hint="eastAsia" w:ascii="宋体" w:hAnsi="宋体"/>
                          </w:rPr>
                          <w:t>重庆市开州区饮用水水源地突发环境</w:t>
                        </w:r>
                        <w:r>
                          <w:t>事件应急预案</w:t>
                        </w:r>
                        <w:r>
                          <w:rPr>
                            <w:rFonts w:hint="eastAsia"/>
                            <w:lang w:eastAsia="zh-CN"/>
                          </w:rPr>
                          <w:t>》</w:t>
                        </w:r>
                      </w:p>
                    </w:txbxContent>
                  </v:textbox>
                </v:rect>
                <v:shape id="_x0000_s1026" o:spid="_x0000_s1026" o:spt="32" type="#_x0000_t32" style="position:absolute;left:12378;top:126621;flip:x y;height:1163;width:31;" filled="f" stroked="t" coordsize="21600,21600" o:gfxdata="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m0vzugAAANoA&#10;AAAPAAAAAAAAAAEAIAAAACIAAABkcnMvZG93bnJldi54bWxQSwECFAAUAAAACACHTuJAMy8FnjsA&#10;AAA5AAAAEAAAAAAAAAABACAAAAAJAQAAZHJzL3NoYXBleG1sLnhtbFBLBQYAAAAABgAGAFsBAACz&#10;AwAAAAA=&#10;">
                  <v:fill on="f" focussize="0,0"/>
                  <v:stroke weight="0.5pt" color="#000000" miterlimit="8" joinstyle="miter" endarrow="open"/>
                  <v:imagedata o:title=""/>
                  <o:lock v:ext="edit" aspectratio="f"/>
                </v:shape>
                <v:rect id="_x0000_s1026" o:spid="_x0000_s1026" o:spt="1" style="position:absolute;left:8969;top:127775;height:766;width:6805;v-text-anchor:middle;" fillcolor="#FFFFFF" filled="t" stroked="t" coordsize="21600,21600" o:gfxdata="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E3absAAADa&#10;AAAADwAAAAAAAAABACAAAAAiAAAAZHJzL2Rvd25yZXYueG1sUEsBAhQAFAAAAAgAh07iQDMvBZ47&#10;AAAAOQAAABAAAAAAAAAAAQAgAAAACgEAAGRycy9zaGFwZXhtbC54bWxQSwUGAAAAAAYABgBbAQAA&#10;tAMAAAAA&#10;">
                  <v:fill on="t" focussize="0,0"/>
                  <v:stroke weight="1pt" color="#000000" miterlimit="8" joinstyle="miter"/>
                  <v:imagedata o:title=""/>
                  <o:lock v:ext="edit" aspectratio="f"/>
                  <v:textbox>
                    <w:txbxContent>
                      <w:p>
                        <w:pPr>
                          <w:jc w:val="center"/>
                          <w:rPr>
                            <w:rFonts w:cs="Times New Roman"/>
                          </w:rPr>
                        </w:pPr>
                        <w:r>
                          <w:rPr>
                            <w:rFonts w:hint="eastAsia" w:cs="Times New Roman"/>
                            <w:lang w:eastAsia="zh-CN"/>
                          </w:rPr>
                          <w:t>《</w:t>
                        </w:r>
                        <w:r>
                          <w:rPr>
                            <w:rFonts w:cs="Times New Roman"/>
                          </w:rPr>
                          <w:t>重庆市开州区</w:t>
                        </w:r>
                        <w:r>
                          <w:rPr>
                            <w:rFonts w:hint="eastAsia" w:cs="Times New Roman"/>
                            <w:lang w:val="en-US" w:eastAsia="zh-CN"/>
                          </w:rPr>
                          <w:t>白水村黄金河集中式地表水</w:t>
                        </w:r>
                        <w:r>
                          <w:rPr>
                            <w:rFonts w:cs="Times New Roman"/>
                          </w:rPr>
                          <w:t>饮用水水源地突发环境事件应急预案</w:t>
                        </w:r>
                        <w:r>
                          <w:rPr>
                            <w:rFonts w:hint="eastAsia" w:cs="Times New Roman"/>
                            <w:lang w:eastAsia="zh-CN"/>
                          </w:rPr>
                          <w:t>》</w:t>
                        </w:r>
                      </w:p>
                    </w:txbxContent>
                  </v:textbox>
                </v:rect>
                <v:shape id="_x0000_s1026" o:spid="_x0000_s1026" o:spt="202" type="#_x0000_t202" style="position:absolute;left:12575;top:126846;height:465;width:1095;" fillcolor="#FFFFFF [3201]" filled="t" stroked="f" coordsize="21600,21600" o:gfxdata="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FV5XeS2AAAA2wAAAA8A&#10;AAAAAAAAAQAgAAAAIgAAAGRycy9kb3ducmV2LnhtbFBLAQIUABQAAAAIAIdO4kAzLwWeOwAAADkA&#10;AAAQAAAAAAAAAAEAIAAAAAUBAABkcnMvc2hhcGV4bWwueG1sUEsFBgAAAAAGAAYAWwEAAK8DAAAA&#10;AA==&#10;">
                  <v:fill on="t" focussize="0,0"/>
                  <v:stroke on="f" weight="0.5pt"/>
                  <v:imagedata o:title=""/>
                  <o:lock v:ext="edit" aspectratio="f"/>
                  <v:textbox>
                    <w:txbxContent>
                      <w:p>
                        <w:pPr>
                          <w:rPr>
                            <w:rFonts w:hint="eastAsia" w:eastAsia="宋体"/>
                            <w:lang w:val="en-US" w:eastAsia="zh-CN"/>
                          </w:rPr>
                        </w:pPr>
                        <w:r>
                          <w:rPr>
                            <w:rFonts w:hint="eastAsia"/>
                            <w:lang w:val="en-US" w:eastAsia="zh-CN"/>
                          </w:rPr>
                          <w:t>衔接</w:t>
                        </w:r>
                      </w:p>
                    </w:txbxContent>
                  </v:textbox>
                </v:shape>
              </v:group>
            </w:pict>
          </mc:Fallback>
        </mc:AlternateConten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zh-CN" w:eastAsia="zh-CN"/>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zh-CN" w:eastAsia="zh-CN"/>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zh-CN" w:eastAsia="zh-CN"/>
        </w:rPr>
      </w:pP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eastAsia="zh-CN"/>
        </w:rPr>
      </w:pPr>
      <w:bookmarkStart w:id="26" w:name="_Toc25884_WPSOffice_Level2"/>
      <w:bookmarkStart w:id="27" w:name="_Toc27981_WPSOffice_Level2"/>
      <w:bookmarkStart w:id="28" w:name="_Toc24271"/>
      <w:bookmarkStart w:id="29" w:name="_Toc483"/>
      <w:bookmarkStart w:id="30" w:name="_Toc11398_WPSOffice_Level2"/>
      <w:bookmarkStart w:id="31" w:name="_Toc13045_WPSOffice_Level2"/>
      <w:r>
        <w:rPr>
          <w:rFonts w:hint="eastAsia" w:asciiTheme="minorEastAsia" w:hAnsiTheme="minorEastAsia" w:eastAsiaTheme="minorEastAsia" w:cstheme="minorEastAsia"/>
          <w:b/>
          <w:bCs/>
          <w:color w:val="auto"/>
          <w:sz w:val="28"/>
          <w:szCs w:val="28"/>
          <w:lang w:val="zh-CN" w:eastAsia="zh-CN"/>
        </w:rPr>
        <w:t>1.</w:t>
      </w:r>
      <w:r>
        <w:rPr>
          <w:rFonts w:hint="eastAsia" w:asciiTheme="minorEastAsia" w:hAnsiTheme="minorEastAsia" w:eastAsiaTheme="minorEastAsia" w:cstheme="minorEastAsia"/>
          <w:b/>
          <w:bCs/>
          <w:color w:val="auto"/>
          <w:sz w:val="28"/>
          <w:szCs w:val="28"/>
          <w:lang w:val="en-US" w:eastAsia="zh-CN"/>
        </w:rPr>
        <w:t>5</w:t>
      </w:r>
      <w:r>
        <w:rPr>
          <w:rFonts w:hint="eastAsia" w:asciiTheme="minorEastAsia" w:hAnsiTheme="minorEastAsia" w:eastAsiaTheme="minorEastAsia" w:cstheme="minorEastAsia"/>
          <w:b/>
          <w:bCs/>
          <w:color w:val="auto"/>
          <w:sz w:val="28"/>
          <w:szCs w:val="28"/>
          <w:lang w:val="zh-CN" w:eastAsia="zh-CN"/>
        </w:rPr>
        <w:t xml:space="preserve"> 工作原则</w:t>
      </w:r>
      <w:bookmarkEnd w:id="26"/>
      <w:bookmarkEnd w:id="27"/>
      <w:bookmarkEnd w:id="28"/>
      <w:bookmarkEnd w:id="29"/>
      <w:bookmarkEnd w:id="30"/>
      <w:bookmarkEnd w:id="31"/>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在建立突发性环境污染事件应急系统及其响应程序时，应本着实事求是、切实可行的方针，贯彻如下原则：</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1）以人为本、安全第一。以保障职工以及周边群众的生命、环境安全作为应急工作的出发点和根本点，并优先保障人身安全。在确保人员安全的前提下，最大限度减少突发环境事件对饮用水源的影响。</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统一指挥、分工负责、协调联动。应急工作必须统一指挥，令行禁止。根据事故级别，分级建立统一的应急指挥体系，确保应急救援指挥统一。各有关部门和救援单位要在统一的指挥下按照各自职责，分工负责，紧密配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快速反应、科学处置、资源共享、保障有力。各接报人员要迅速反应，有效研判，采用先进的应急装备和技术，科学、规范处置突发环境事件；相关职能部门、单位密切配合，实现应急资源共享，为应急处置提供有力保障。</w:t>
      </w:r>
    </w:p>
    <w:p>
      <w:pPr>
        <w:pageBreakBefore w:val="0"/>
        <w:widowControl w:val="0"/>
        <w:kinsoku/>
        <w:wordWrap/>
        <w:overflowPunct/>
        <w:topLinePunct w:val="0"/>
        <w:bidi w:val="0"/>
        <w:spacing w:line="360" w:lineRule="auto"/>
        <w:ind w:left="0" w:leftChars="0"/>
        <w:textAlignment w:val="auto"/>
        <w:rPr>
          <w:rFonts w:hint="eastAsia" w:asciiTheme="minorEastAsia" w:hAnsiTheme="minorEastAsia" w:eastAsiaTheme="minorEastAsia" w:cstheme="minorEastAsia"/>
          <w:color w:val="FF0000"/>
          <w:sz w:val="28"/>
          <w:szCs w:val="28"/>
          <w:lang w:val="en-US" w:eastAsia="zh-CN"/>
        </w:rPr>
      </w:pPr>
      <w:r>
        <w:rPr>
          <w:rFonts w:hint="eastAsia" w:asciiTheme="minorEastAsia" w:hAnsiTheme="minorEastAsia" w:eastAsiaTheme="minorEastAsia" w:cstheme="minorEastAsia"/>
          <w:color w:val="FF0000"/>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color w:val="auto"/>
          <w:sz w:val="32"/>
          <w:szCs w:val="32"/>
          <w:lang w:val="en-US" w:eastAsia="zh-CN"/>
        </w:rPr>
      </w:pPr>
      <w:bookmarkStart w:id="32" w:name="_Toc23909"/>
      <w:r>
        <w:rPr>
          <w:rFonts w:hint="eastAsia" w:asciiTheme="minorEastAsia" w:hAnsiTheme="minorEastAsia" w:eastAsiaTheme="minorEastAsia" w:cstheme="minorEastAsia"/>
          <w:b/>
          <w:bCs/>
          <w:color w:val="auto"/>
          <w:sz w:val="32"/>
          <w:szCs w:val="32"/>
          <w:lang w:val="en-US" w:eastAsia="zh-CN"/>
        </w:rPr>
        <w:t>2 水源地基本信息</w:t>
      </w:r>
      <w:bookmarkEnd w:id="32"/>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default" w:asciiTheme="minorEastAsia" w:hAnsiTheme="minorEastAsia" w:eastAsiaTheme="minorEastAsia" w:cstheme="minorEastAsia"/>
          <w:b/>
          <w:bCs/>
          <w:color w:val="auto"/>
          <w:sz w:val="28"/>
          <w:szCs w:val="28"/>
          <w:lang w:val="en-US" w:eastAsia="zh-CN"/>
        </w:rPr>
      </w:pPr>
      <w:bookmarkStart w:id="33" w:name="_Toc15487"/>
      <w:r>
        <w:rPr>
          <w:rFonts w:hint="eastAsia" w:asciiTheme="minorEastAsia" w:hAnsiTheme="minorEastAsia" w:eastAsiaTheme="minorEastAsia" w:cstheme="minorEastAsia"/>
          <w:b/>
          <w:bCs/>
          <w:color w:val="auto"/>
          <w:sz w:val="28"/>
          <w:szCs w:val="28"/>
          <w:lang w:val="en-US" w:eastAsia="zh-CN"/>
        </w:rPr>
        <w:t>2.1 水源地基本信息</w:t>
      </w:r>
      <w:bookmarkEnd w:id="33"/>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right="0" w:firstLine="560" w:firstLineChars="200"/>
        <w:textAlignment w:val="auto"/>
        <w:rPr>
          <w:rFonts w:hint="eastAsia" w:cs="宋体"/>
          <w:b w:val="0"/>
          <w:bCs w:val="0"/>
          <w:color w:val="auto"/>
          <w:sz w:val="28"/>
          <w:szCs w:val="28"/>
          <w:lang w:val="en-US" w:eastAsia="zh-CN"/>
        </w:rPr>
      </w:pPr>
      <w:bookmarkStart w:id="34" w:name="_Toc31043"/>
      <w:r>
        <w:rPr>
          <w:rFonts w:hint="eastAsia" w:cs="宋体"/>
          <w:b w:val="0"/>
          <w:bCs w:val="0"/>
          <w:color w:val="auto"/>
          <w:sz w:val="28"/>
          <w:szCs w:val="28"/>
          <w:lang w:val="en-US" w:eastAsia="zh-CN"/>
        </w:rPr>
        <w:t>开州区中和镇白水村黄金河水源地，编号：</w:t>
      </w:r>
      <w:r>
        <w:rPr>
          <w:rFonts w:hint="eastAsia" w:cs="宋体"/>
          <w:b w:val="0"/>
          <w:bCs w:val="0"/>
          <w:color w:val="auto"/>
          <w:w w:val="90"/>
          <w:sz w:val="28"/>
          <w:szCs w:val="28"/>
          <w:lang w:val="en-US" w:eastAsia="zh-CN"/>
        </w:rPr>
        <w:t>FB7301500234133S0002</w:t>
      </w:r>
      <w:r>
        <w:rPr>
          <w:rFonts w:hint="eastAsia" w:cs="宋体"/>
          <w:b w:val="0"/>
          <w:bCs w:val="0"/>
          <w:color w:val="auto"/>
          <w:sz w:val="28"/>
          <w:szCs w:val="28"/>
          <w:lang w:val="en-US" w:eastAsia="zh-CN"/>
        </w:rPr>
        <w:t>。位于开州区中和镇白水村，于2002年2月开始供水。服务区域为子坪村、白水村、牌楼村、白水中心小学、石河社区的部分农户，现有用水户837户。设计供水（400m</w:t>
      </w:r>
      <w:r>
        <w:rPr>
          <w:rFonts w:hint="eastAsia" w:cs="宋体"/>
          <w:b w:val="0"/>
          <w:bCs w:val="0"/>
          <w:color w:val="auto"/>
          <w:sz w:val="28"/>
          <w:szCs w:val="28"/>
          <w:vertAlign w:val="superscript"/>
          <w:lang w:val="en-US" w:eastAsia="zh-CN"/>
        </w:rPr>
        <w:t>3</w:t>
      </w:r>
      <w:r>
        <w:rPr>
          <w:rFonts w:hint="eastAsia" w:cs="宋体"/>
          <w:b w:val="0"/>
          <w:bCs w:val="0"/>
          <w:color w:val="auto"/>
          <w:sz w:val="28"/>
          <w:szCs w:val="28"/>
          <w:lang w:val="en-US" w:eastAsia="zh-CN"/>
        </w:rPr>
        <w:t>/d）实际取水量：（300m</w:t>
      </w:r>
      <w:r>
        <w:rPr>
          <w:rFonts w:hint="eastAsia" w:cs="宋体"/>
          <w:b w:val="0"/>
          <w:bCs w:val="0"/>
          <w:color w:val="auto"/>
          <w:sz w:val="28"/>
          <w:szCs w:val="28"/>
          <w:vertAlign w:val="superscript"/>
          <w:lang w:val="en-US" w:eastAsia="zh-CN"/>
        </w:rPr>
        <w:t>3</w:t>
      </w:r>
      <w:r>
        <w:rPr>
          <w:rFonts w:hint="eastAsia" w:cs="宋体"/>
          <w:b w:val="0"/>
          <w:bCs w:val="0"/>
          <w:color w:val="auto"/>
          <w:sz w:val="28"/>
          <w:szCs w:val="28"/>
          <w:lang w:val="en-US" w:eastAsia="zh-CN"/>
        </w:rPr>
        <w:t>/d）。</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default"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2.2 水源地取水情况</w:t>
      </w:r>
      <w:bookmarkEnd w:id="34"/>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eastAsia" w:ascii="宋体" w:hAnsi="宋体" w:eastAsia="宋体" w:cs="宋体"/>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黄金河（黄金河取水点）：黄金河</w:t>
      </w:r>
      <w:r>
        <w:rPr>
          <w:rFonts w:hint="eastAsia" w:ascii="宋体" w:hAnsi="宋体" w:eastAsia="宋体" w:cs="宋体"/>
          <w:color w:val="auto"/>
          <w:sz w:val="28"/>
          <w:szCs w:val="28"/>
          <w:lang w:val="en-US" w:eastAsia="zh-CN"/>
        </w:rPr>
        <w:t>取水点为</w:t>
      </w:r>
      <w:r>
        <w:rPr>
          <w:rFonts w:hint="eastAsia" w:cs="宋体"/>
          <w:b w:val="0"/>
          <w:bCs w:val="0"/>
          <w:color w:val="auto"/>
          <w:sz w:val="28"/>
          <w:szCs w:val="28"/>
          <w:lang w:val="en-US" w:eastAsia="zh-CN"/>
        </w:rPr>
        <w:t>开州区白水村黄金河水源地</w:t>
      </w:r>
      <w:r>
        <w:rPr>
          <w:rFonts w:hint="eastAsia" w:ascii="宋体" w:hAnsi="宋体" w:eastAsia="宋体" w:cs="宋体"/>
          <w:color w:val="auto"/>
          <w:sz w:val="28"/>
          <w:szCs w:val="28"/>
          <w:lang w:val="en-US" w:eastAsia="zh-CN"/>
        </w:rPr>
        <w:t>取水点，</w:t>
      </w:r>
      <w:r>
        <w:rPr>
          <w:rFonts w:hint="eastAsia" w:asciiTheme="minorEastAsia" w:hAnsiTheme="minorEastAsia" w:eastAsiaTheme="minorEastAsia" w:cstheme="minorEastAsia"/>
          <w:color w:val="auto"/>
          <w:sz w:val="28"/>
          <w:szCs w:val="28"/>
          <w:lang w:val="en-US" w:eastAsia="zh-CN"/>
        </w:rPr>
        <w:t>黄金河</w:t>
      </w:r>
      <w:r>
        <w:rPr>
          <w:rFonts w:hint="eastAsia" w:ascii="宋体" w:hAnsi="宋体" w:eastAsia="宋体" w:cs="宋体"/>
          <w:color w:val="auto"/>
          <w:sz w:val="28"/>
          <w:szCs w:val="28"/>
          <w:lang w:val="en-US" w:eastAsia="zh-CN"/>
        </w:rPr>
        <w:t>根据《重庆市地表水环境功能类别调整方案》（渝府发〔2012〕4号）为饮用水源点Ⅲ级水域。全水域属环境保护水域。</w:t>
      </w:r>
      <w:r>
        <w:rPr>
          <w:rFonts w:hint="eastAsia"/>
          <w:color w:val="auto"/>
          <w:sz w:val="28"/>
          <w:szCs w:val="36"/>
          <w:lang w:val="en-US" w:eastAsia="zh-CN"/>
        </w:rPr>
        <w:t>接150管进入</w:t>
      </w:r>
      <w:r>
        <w:rPr>
          <w:rFonts w:hint="eastAsia" w:cs="宋体"/>
          <w:b w:val="0"/>
          <w:bCs w:val="0"/>
          <w:color w:val="auto"/>
          <w:sz w:val="28"/>
          <w:szCs w:val="28"/>
          <w:lang w:val="en-US" w:eastAsia="zh-CN"/>
        </w:rPr>
        <w:t>重庆市开州中和镇黄金桥自来水厂</w:t>
      </w:r>
      <w:r>
        <w:rPr>
          <w:rFonts w:hint="eastAsia" w:asciiTheme="minorEastAsia" w:hAnsiTheme="minorEastAsia" w:eastAsiaTheme="minorEastAsia" w:cstheme="minorEastAsia"/>
          <w:color w:val="auto"/>
          <w:sz w:val="28"/>
          <w:szCs w:val="28"/>
          <w:lang w:val="en-US" w:eastAsia="zh-CN"/>
        </w:rPr>
        <w:t>。取水满足日常用水。</w:t>
      </w:r>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center"/>
        <w:textAlignment w:val="auto"/>
        <w:outlineLvl w:val="9"/>
        <w:rPr>
          <w:rFonts w:hint="eastAsia"/>
          <w:color w:val="auto"/>
          <w:sz w:val="28"/>
          <w:lang w:val="en-US" w:eastAsia="zh-CN"/>
        </w:rPr>
      </w:pPr>
      <w:r>
        <w:rPr>
          <w:rFonts w:hint="eastAsia" w:eastAsia="宋体"/>
          <w:color w:val="0000FF"/>
          <w:sz w:val="28"/>
          <w:lang w:eastAsia="zh-CN"/>
        </w:rPr>
        <w:drawing>
          <wp:anchor distT="0" distB="0" distL="114300" distR="114300" simplePos="0" relativeHeight="251666432" behindDoc="0" locked="0" layoutInCell="1" allowOverlap="1">
            <wp:simplePos x="0" y="0"/>
            <wp:positionH relativeFrom="column">
              <wp:posOffset>561340</wp:posOffset>
            </wp:positionH>
            <wp:positionV relativeFrom="paragraph">
              <wp:posOffset>4445</wp:posOffset>
            </wp:positionV>
            <wp:extent cx="4206875" cy="2665730"/>
            <wp:effectExtent l="0" t="0" r="3175" b="1270"/>
            <wp:wrapTopAndBottom/>
            <wp:docPr id="36" name="图片 36" descr="IMG_20211124_143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IMG_20211124_143125"/>
                    <pic:cNvPicPr>
                      <a:picLocks noChangeAspect="1"/>
                    </pic:cNvPicPr>
                  </pic:nvPicPr>
                  <pic:blipFill>
                    <a:blip r:embed="rId17"/>
                    <a:stretch>
                      <a:fillRect/>
                    </a:stretch>
                  </pic:blipFill>
                  <pic:spPr>
                    <a:xfrm>
                      <a:off x="0" y="0"/>
                      <a:ext cx="4206875" cy="2665730"/>
                    </a:xfrm>
                    <a:prstGeom prst="rect">
                      <a:avLst/>
                    </a:prstGeom>
                  </pic:spPr>
                </pic:pic>
              </a:graphicData>
            </a:graphic>
          </wp:anchor>
        </w:drawing>
      </w:r>
      <w:r>
        <w:rPr>
          <w:rFonts w:hint="eastAsia"/>
          <w:color w:val="auto"/>
          <w:sz w:val="28"/>
          <w:lang w:val="en-US" w:eastAsia="zh-CN"/>
        </w:rPr>
        <w:t>图一：黄金河取水点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35" w:name="_Toc26607"/>
      <w:r>
        <w:rPr>
          <w:rFonts w:hint="eastAsia" w:asciiTheme="minorEastAsia" w:hAnsiTheme="minorEastAsia" w:eastAsiaTheme="minorEastAsia" w:cstheme="minorEastAsia"/>
          <w:b/>
          <w:bCs/>
          <w:color w:val="auto"/>
          <w:sz w:val="28"/>
          <w:szCs w:val="28"/>
          <w:lang w:val="en-US" w:eastAsia="zh-CN"/>
        </w:rPr>
        <w:t>2.3 饮用水水源保护区</w:t>
      </w:r>
      <w:bookmarkEnd w:id="35"/>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eastAsia" w:ascii="宋体" w:hAnsi="宋体" w:eastAsia="宋体" w:cs="宋体"/>
          <w:b w:val="0"/>
          <w:bCs w:val="0"/>
          <w:color w:val="auto"/>
          <w:sz w:val="28"/>
          <w:szCs w:val="28"/>
          <w:lang w:val="en-US" w:eastAsia="zh-CN"/>
        </w:rPr>
      </w:pPr>
      <w:bookmarkStart w:id="36" w:name="_Toc21367"/>
      <w:r>
        <w:rPr>
          <w:rFonts w:hint="eastAsia" w:ascii="宋体" w:hAnsi="宋体" w:eastAsia="宋体" w:cs="宋体"/>
          <w:b w:val="0"/>
          <w:bCs w:val="0"/>
          <w:color w:val="auto"/>
          <w:sz w:val="28"/>
          <w:szCs w:val="28"/>
          <w:lang w:val="en-US" w:eastAsia="zh-CN"/>
        </w:rPr>
        <w:t>一级保护区：水域范围为取水口上游1000</w:t>
      </w:r>
      <w:r>
        <w:rPr>
          <w:rFonts w:hint="eastAsia" w:cs="宋体"/>
          <w:b w:val="0"/>
          <w:bCs w:val="0"/>
          <w:color w:val="auto"/>
          <w:sz w:val="28"/>
          <w:szCs w:val="28"/>
          <w:lang w:val="en-US" w:eastAsia="zh-CN"/>
        </w:rPr>
        <w:t>m</w:t>
      </w:r>
      <w:r>
        <w:rPr>
          <w:rFonts w:hint="eastAsia" w:ascii="宋体" w:hAnsi="宋体" w:eastAsia="宋体" w:cs="宋体"/>
          <w:b w:val="0"/>
          <w:bCs w:val="0"/>
          <w:color w:val="auto"/>
          <w:sz w:val="28"/>
          <w:szCs w:val="28"/>
          <w:lang w:val="en-US" w:eastAsia="zh-CN"/>
        </w:rPr>
        <w:t>至下游100</w:t>
      </w:r>
      <w:r>
        <w:rPr>
          <w:rFonts w:hint="eastAsia" w:cs="宋体"/>
          <w:b w:val="0"/>
          <w:bCs w:val="0"/>
          <w:color w:val="auto"/>
          <w:sz w:val="28"/>
          <w:szCs w:val="28"/>
          <w:lang w:val="en-US" w:eastAsia="zh-CN"/>
        </w:rPr>
        <w:t>m</w:t>
      </w:r>
      <w:r>
        <w:rPr>
          <w:rFonts w:hint="eastAsia" w:ascii="宋体" w:hAnsi="宋体" w:eastAsia="宋体" w:cs="宋体"/>
          <w:b w:val="0"/>
          <w:bCs w:val="0"/>
          <w:color w:val="auto"/>
          <w:sz w:val="28"/>
          <w:szCs w:val="28"/>
          <w:lang w:val="en-US" w:eastAsia="zh-CN"/>
        </w:rPr>
        <w:t>的整个水域，陆域范围为30年一遇洪水位至正常水位范围内的陆域，但不超过分水岭，陆域沿岸长度与一级保护区水域长度相同。</w:t>
      </w:r>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eastAsia" w:cs="宋体"/>
          <w:b w:val="0"/>
          <w:bCs w:val="0"/>
          <w:color w:val="auto"/>
          <w:sz w:val="28"/>
          <w:szCs w:val="28"/>
          <w:lang w:val="en-US" w:eastAsia="zh-CN"/>
        </w:rPr>
      </w:pPr>
      <w:r>
        <w:rPr>
          <w:rFonts w:hint="eastAsia" w:cs="宋体"/>
          <w:b w:val="0"/>
          <w:bCs w:val="0"/>
          <w:color w:val="auto"/>
          <w:sz w:val="28"/>
          <w:szCs w:val="28"/>
          <w:lang w:val="en-US" w:eastAsia="zh-CN"/>
        </w:rPr>
        <w:t>二级保护区：水域范围为取水口上游1000m至2000m，下游100m至200m的整个水域，陆域范围为30年一遇洪水位至正常水位范围内的陆域，但不超过分水岭，陆域沿岸长度与二级保护区水域长度相同。</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2.4规范性建设</w:t>
      </w:r>
      <w:bookmarkEnd w:id="36"/>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eastAsia" w:cs="宋体"/>
          <w:b w:val="0"/>
          <w:bCs w:val="0"/>
          <w:color w:val="auto"/>
          <w:sz w:val="28"/>
          <w:szCs w:val="28"/>
          <w:lang w:val="en-US" w:eastAsia="zh-CN"/>
        </w:rPr>
      </w:pPr>
      <w:bookmarkStart w:id="37" w:name="_Toc14070"/>
      <w:r>
        <w:rPr>
          <w:rFonts w:hint="eastAsia" w:cs="宋体"/>
          <w:b w:val="0"/>
          <w:bCs w:val="0"/>
          <w:color w:val="auto"/>
          <w:sz w:val="28"/>
          <w:szCs w:val="28"/>
          <w:lang w:val="en-US" w:eastAsia="zh-CN"/>
        </w:rPr>
        <w:t>设有保护区标志与警示建立了一源一事档案，并设立河长，定期巡查并设有巡查房。但警示牌、宣传牌设置不完善，未对取水口进行视频监控，未定期开展水源地环境状况评估。</w:t>
      </w:r>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eastAsia"/>
          <w:color w:val="auto"/>
          <w:sz w:val="28"/>
          <w:lang w:val="en-US" w:eastAsia="zh-CN"/>
        </w:rPr>
      </w:pPr>
      <w:r>
        <w:rPr>
          <w:color w:val="auto"/>
          <w:sz w:val="28"/>
        </w:rPr>
        <w:drawing>
          <wp:anchor distT="0" distB="0" distL="114300" distR="114300" simplePos="0" relativeHeight="251668480" behindDoc="0" locked="0" layoutInCell="1" allowOverlap="1">
            <wp:simplePos x="0" y="0"/>
            <wp:positionH relativeFrom="column">
              <wp:posOffset>2950845</wp:posOffset>
            </wp:positionH>
            <wp:positionV relativeFrom="paragraph">
              <wp:posOffset>27940</wp:posOffset>
            </wp:positionV>
            <wp:extent cx="2484120" cy="3312160"/>
            <wp:effectExtent l="0" t="0" r="11430" b="2540"/>
            <wp:wrapTopAndBottom/>
            <wp:docPr id="30" name="图片 30" descr="IMG_20211124_142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IMG_20211124_142526"/>
                    <pic:cNvPicPr>
                      <a:picLocks noChangeAspect="1"/>
                    </pic:cNvPicPr>
                  </pic:nvPicPr>
                  <pic:blipFill>
                    <a:blip r:embed="rId18"/>
                    <a:stretch>
                      <a:fillRect/>
                    </a:stretch>
                  </pic:blipFill>
                  <pic:spPr>
                    <a:xfrm>
                      <a:off x="0" y="0"/>
                      <a:ext cx="2484120" cy="3312160"/>
                    </a:xfrm>
                    <a:prstGeom prst="rect">
                      <a:avLst/>
                    </a:prstGeom>
                  </pic:spPr>
                </pic:pic>
              </a:graphicData>
            </a:graphic>
          </wp:anchor>
        </w:drawing>
      </w:r>
      <w:r>
        <w:rPr>
          <w:color w:val="auto"/>
          <w:sz w:val="28"/>
        </w:rPr>
        <w:drawing>
          <wp:anchor distT="0" distB="0" distL="114300" distR="114300" simplePos="0" relativeHeight="251667456" behindDoc="0" locked="0" layoutInCell="1" allowOverlap="1">
            <wp:simplePos x="0" y="0"/>
            <wp:positionH relativeFrom="column">
              <wp:posOffset>-1270</wp:posOffset>
            </wp:positionH>
            <wp:positionV relativeFrom="paragraph">
              <wp:posOffset>3175</wp:posOffset>
            </wp:positionV>
            <wp:extent cx="2484120" cy="3264535"/>
            <wp:effectExtent l="0" t="0" r="11430" b="12065"/>
            <wp:wrapTopAndBottom/>
            <wp:docPr id="29" name="图片 29" descr="IMG_20211124_142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IMG_20211124_142739"/>
                    <pic:cNvPicPr>
                      <a:picLocks noChangeAspect="1"/>
                    </pic:cNvPicPr>
                  </pic:nvPicPr>
                  <pic:blipFill>
                    <a:blip r:embed="rId19"/>
                    <a:stretch>
                      <a:fillRect/>
                    </a:stretch>
                  </pic:blipFill>
                  <pic:spPr>
                    <a:xfrm>
                      <a:off x="0" y="0"/>
                      <a:ext cx="2484120" cy="3264535"/>
                    </a:xfrm>
                    <a:prstGeom prst="rect">
                      <a:avLst/>
                    </a:prstGeom>
                  </pic:spPr>
                </pic:pic>
              </a:graphicData>
            </a:graphic>
          </wp:anchor>
        </w:drawing>
      </w:r>
      <w:r>
        <w:rPr>
          <w:rFonts w:hint="eastAsia"/>
          <w:color w:val="auto"/>
          <w:sz w:val="28"/>
          <w:lang w:eastAsia="zh-CN"/>
        </w:rPr>
        <w:t>图二：一级保护区标牌</w:t>
      </w:r>
      <w:r>
        <w:rPr>
          <w:rFonts w:hint="eastAsia"/>
          <w:color w:val="auto"/>
          <w:sz w:val="28"/>
          <w:lang w:val="en-US" w:eastAsia="zh-CN"/>
        </w:rPr>
        <w:t xml:space="preserve">             图三：二级保护区标牌</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center"/>
        <w:textAlignment w:val="auto"/>
        <w:outlineLvl w:val="9"/>
        <w:rPr>
          <w:rFonts w:hint="eastAsia"/>
          <w:color w:val="auto"/>
          <w:sz w:val="28"/>
          <w:lang w:val="en-US" w:eastAsia="zh-CN"/>
        </w:rPr>
      </w:pPr>
      <w:r>
        <w:rPr>
          <w:rFonts w:hint="eastAsia"/>
          <w:color w:val="auto"/>
          <w:sz w:val="28"/>
          <w:lang w:val="en-US" w:eastAsia="zh-CN"/>
        </w:rPr>
        <w:drawing>
          <wp:anchor distT="0" distB="0" distL="114300" distR="114300" simplePos="0" relativeHeight="251669504" behindDoc="0" locked="0" layoutInCell="1" allowOverlap="1">
            <wp:simplePos x="0" y="0"/>
            <wp:positionH relativeFrom="column">
              <wp:posOffset>775970</wp:posOffset>
            </wp:positionH>
            <wp:positionV relativeFrom="page">
              <wp:posOffset>785495</wp:posOffset>
            </wp:positionV>
            <wp:extent cx="3908425" cy="3666490"/>
            <wp:effectExtent l="0" t="0" r="15875" b="10160"/>
            <wp:wrapTopAndBottom/>
            <wp:docPr id="31" name="图片 31" descr="IMG_20211124_143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IMG_20211124_143042"/>
                    <pic:cNvPicPr>
                      <a:picLocks noChangeAspect="1"/>
                    </pic:cNvPicPr>
                  </pic:nvPicPr>
                  <pic:blipFill>
                    <a:blip r:embed="rId20"/>
                    <a:stretch>
                      <a:fillRect/>
                    </a:stretch>
                  </pic:blipFill>
                  <pic:spPr>
                    <a:xfrm>
                      <a:off x="0" y="0"/>
                      <a:ext cx="3908425" cy="3666490"/>
                    </a:xfrm>
                    <a:prstGeom prst="rect">
                      <a:avLst/>
                    </a:prstGeom>
                  </pic:spPr>
                </pic:pic>
              </a:graphicData>
            </a:graphic>
          </wp:anchor>
        </w:drawing>
      </w:r>
      <w:r>
        <w:rPr>
          <w:rFonts w:hint="eastAsia"/>
          <w:color w:val="auto"/>
          <w:sz w:val="28"/>
          <w:lang w:val="en-US" w:eastAsia="zh-CN"/>
        </w:rPr>
        <w:t>图四：饮用水水源地保护区标牌</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right="0" w:firstLine="0" w:firstLineChars="0"/>
        <w:textAlignment w:val="auto"/>
        <w:rPr>
          <w:rFonts w:hint="eastAsia" w:cs="宋体"/>
          <w:b/>
          <w:bCs/>
          <w:color w:val="auto"/>
          <w:sz w:val="28"/>
          <w:szCs w:val="28"/>
          <w:lang w:val="en-US" w:eastAsia="zh-CN"/>
        </w:rPr>
      </w:pPr>
      <w:r>
        <w:rPr>
          <w:rFonts w:hint="eastAsia" w:cs="宋体"/>
          <w:b/>
          <w:bCs/>
          <w:color w:val="auto"/>
          <w:sz w:val="28"/>
          <w:szCs w:val="28"/>
          <w:lang w:val="en-US" w:eastAsia="zh-CN"/>
        </w:rPr>
        <w:t>3.1.5 水源水质情况</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right="0" w:firstLine="560" w:firstLineChars="200"/>
        <w:textAlignment w:val="auto"/>
        <w:rPr>
          <w:rFonts w:hint="eastAsia" w:cs="宋体"/>
          <w:b w:val="0"/>
          <w:bCs w:val="0"/>
          <w:color w:val="auto"/>
          <w:sz w:val="28"/>
          <w:szCs w:val="28"/>
          <w:lang w:val="en-US" w:eastAsia="zh-CN"/>
        </w:rPr>
      </w:pPr>
      <w:r>
        <w:rPr>
          <w:rFonts w:hint="eastAsia" w:cs="宋体"/>
          <w:b w:val="0"/>
          <w:bCs w:val="0"/>
          <w:color w:val="auto"/>
          <w:sz w:val="28"/>
          <w:szCs w:val="28"/>
          <w:lang w:val="en-US" w:eastAsia="zh-CN"/>
        </w:rPr>
        <w:t>根据重庆市开州中和镇黄金桥自来水厂处置后，可直接饮用。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2.6水源地环境风险</w:t>
      </w:r>
      <w:bookmarkEnd w:id="37"/>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560" w:firstLineChars="200"/>
        <w:textAlignment w:val="auto"/>
        <w:rPr>
          <w:rFonts w:hint="eastAsia" w:cs="宋体"/>
          <w:b w:val="0"/>
          <w:bCs w:val="0"/>
          <w:color w:val="auto"/>
          <w:sz w:val="28"/>
          <w:szCs w:val="28"/>
          <w:lang w:val="en-US" w:eastAsia="zh-CN"/>
        </w:rPr>
      </w:pPr>
      <w:bookmarkStart w:id="38" w:name="_Toc13873_WPSOffice_Level1"/>
      <w:bookmarkStart w:id="39" w:name="_Toc19968_WPSOffice_Level1"/>
      <w:bookmarkStart w:id="40" w:name="_Toc16274_WPSOffice_Level1"/>
      <w:bookmarkStart w:id="41" w:name="_Toc27882"/>
      <w:bookmarkStart w:id="42" w:name="_Toc15377_WPSOffice_Level1"/>
      <w:r>
        <w:rPr>
          <w:rFonts w:hint="eastAsia" w:cs="宋体"/>
          <w:b w:val="0"/>
          <w:bCs w:val="0"/>
          <w:color w:val="auto"/>
          <w:sz w:val="28"/>
          <w:szCs w:val="28"/>
          <w:lang w:val="en-US" w:eastAsia="zh-CN"/>
        </w:rPr>
        <w:t>根据用水水源环境风险评估方法，分析得出，白水村黄金河水源地固定源、流动源、非点源评分分别为 Rp=0、Rf=1、Ry=0，表明白水村黄金河水源地固定源、非点源风险在可接受风险水平内。表明流动源风险应采取风险应急措施。</w:t>
      </w:r>
    </w:p>
    <w:p>
      <w:pPr>
        <w:pageBreakBefore w:val="0"/>
        <w:widowControl w:val="0"/>
        <w:kinsoku/>
        <w:wordWrap/>
        <w:overflowPunct/>
        <w:topLinePunct w:val="0"/>
        <w:bidi w:val="0"/>
        <w:spacing w:line="360" w:lineRule="auto"/>
        <w:ind w:left="0" w:leftChars="0"/>
        <w:textAlignment w:val="auto"/>
        <w:rPr>
          <w:rFonts w:hint="eastAsia" w:cs="宋体"/>
          <w:b w:val="0"/>
          <w:bCs w:val="0"/>
          <w:color w:val="FF0000"/>
          <w:sz w:val="28"/>
          <w:szCs w:val="28"/>
          <w:lang w:val="en-US" w:eastAsia="zh-CN"/>
        </w:rPr>
      </w:pPr>
      <w:r>
        <w:rPr>
          <w:rFonts w:hint="eastAsia" w:cs="宋体"/>
          <w:b w:val="0"/>
          <w:bCs w:val="0"/>
          <w:color w:val="FF0000"/>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color w:val="auto"/>
          <w:sz w:val="32"/>
          <w:szCs w:val="32"/>
          <w:lang w:val="en-US" w:eastAsia="zh-CN"/>
        </w:rPr>
      </w:pPr>
      <w:bookmarkStart w:id="43" w:name="_Toc10220"/>
      <w:r>
        <w:rPr>
          <w:rFonts w:hint="eastAsia" w:asciiTheme="minorEastAsia" w:hAnsiTheme="minorEastAsia" w:eastAsiaTheme="minorEastAsia" w:cstheme="minorEastAsia"/>
          <w:b/>
          <w:bCs/>
          <w:color w:val="auto"/>
          <w:sz w:val="32"/>
          <w:szCs w:val="32"/>
          <w:lang w:val="en-US" w:eastAsia="zh-CN"/>
        </w:rPr>
        <w:t>3 应急组织</w:t>
      </w:r>
      <w:bookmarkEnd w:id="38"/>
      <w:bookmarkEnd w:id="39"/>
      <w:bookmarkEnd w:id="40"/>
      <w:bookmarkEnd w:id="41"/>
      <w:bookmarkEnd w:id="42"/>
      <w:r>
        <w:rPr>
          <w:rFonts w:hint="eastAsia" w:asciiTheme="minorEastAsia" w:hAnsiTheme="minorEastAsia" w:eastAsiaTheme="minorEastAsia" w:cstheme="minorEastAsia"/>
          <w:b/>
          <w:bCs/>
          <w:color w:val="auto"/>
          <w:sz w:val="32"/>
          <w:szCs w:val="32"/>
          <w:lang w:val="en-US" w:eastAsia="zh-CN"/>
        </w:rPr>
        <w:t>指挥体系</w:t>
      </w:r>
      <w:bookmarkEnd w:id="43"/>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44" w:name="_Toc30339"/>
      <w:bookmarkStart w:id="45" w:name="_Toc998"/>
      <w:bookmarkStart w:id="46" w:name="_Toc28195"/>
      <w:r>
        <w:rPr>
          <w:rFonts w:hint="eastAsia" w:asciiTheme="minorEastAsia" w:hAnsiTheme="minorEastAsia" w:eastAsiaTheme="minorEastAsia" w:cstheme="minorEastAsia"/>
          <w:b/>
          <w:bCs/>
          <w:color w:val="auto"/>
          <w:sz w:val="28"/>
          <w:szCs w:val="28"/>
          <w:lang w:val="en-US" w:eastAsia="zh-CN"/>
        </w:rPr>
        <w:t>3.1</w:t>
      </w:r>
      <w:bookmarkEnd w:id="44"/>
      <w:bookmarkEnd w:id="45"/>
      <w:r>
        <w:rPr>
          <w:rFonts w:hint="eastAsia" w:asciiTheme="minorEastAsia" w:hAnsiTheme="minorEastAsia" w:eastAsiaTheme="minorEastAsia" w:cstheme="minorEastAsia"/>
          <w:b/>
          <w:bCs/>
          <w:color w:val="auto"/>
          <w:sz w:val="28"/>
          <w:szCs w:val="28"/>
          <w:lang w:val="en-US" w:eastAsia="zh-CN"/>
        </w:rPr>
        <w:t xml:space="preserve"> 应急组织指挥机构</w:t>
      </w:r>
      <w:bookmarkEnd w:id="46"/>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3.1.1 机构组成</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right="0" w:rightChars="0" w:firstLine="560" w:firstLineChars="200"/>
        <w:textAlignment w:val="auto"/>
        <w:outlineLvl w:val="9"/>
        <w:rPr>
          <w:rFonts w:hint="eastAsia" w:cs="宋体"/>
          <w:b w:val="0"/>
          <w:bCs w:val="0"/>
          <w:color w:val="auto"/>
          <w:sz w:val="28"/>
          <w:szCs w:val="28"/>
          <w:lang w:val="en-US" w:eastAsia="zh-CN"/>
        </w:rPr>
      </w:pPr>
      <w:bookmarkStart w:id="47" w:name="_Toc594"/>
      <w:r>
        <w:rPr>
          <w:rFonts w:hint="eastAsia" w:cs="宋体"/>
          <w:b w:val="0"/>
          <w:bCs w:val="0"/>
          <w:color w:val="auto"/>
          <w:sz w:val="28"/>
          <w:szCs w:val="28"/>
          <w:lang w:val="en-US" w:eastAsia="zh-CN"/>
        </w:rPr>
        <w:t>白水村黄金河集中式</w:t>
      </w:r>
      <w:r>
        <w:rPr>
          <w:rFonts w:hint="eastAsia" w:ascii="宋体" w:hAnsi="宋体" w:eastAsia="宋体" w:cs="宋体"/>
          <w:color w:val="auto"/>
          <w:sz w:val="28"/>
          <w:szCs w:val="28"/>
          <w:lang w:val="en-US" w:eastAsia="zh-CN"/>
        </w:rPr>
        <w:t>地表水饮用水水源地突发环境事件应急指挥部在</w:t>
      </w:r>
      <w:r>
        <w:rPr>
          <w:rFonts w:hint="eastAsia" w:cs="宋体"/>
          <w:b w:val="0"/>
          <w:bCs w:val="0"/>
          <w:color w:val="auto"/>
          <w:sz w:val="28"/>
          <w:szCs w:val="28"/>
          <w:lang w:val="en-US" w:eastAsia="zh-CN"/>
        </w:rPr>
        <w:t>白水村黄金河人民政府的统一指挥下负责领导、组织和协调全镇涉及饮用水源突发环境事件应急工作。总指挥由白水村黄金河镇长担任，副总指挥由白水村黄金河副镇长担任。成员由党政办、平安办、应急办、财政办、规建环办、社事办、执法办、水利服务中心、农业服务中心、人居环境服务中心、综合执法大队、派出所、卫生院、供电所负责人和各村（社区）挂片领导、支部书记、主任担任，下设应急办公室和四个应急处置组（现场处置组、综合协调组、应急保障组、应急监测组）。</w:t>
      </w:r>
    </w:p>
    <w:p>
      <w:pPr>
        <w:pStyle w:val="2"/>
        <w:rPr>
          <w:rFonts w:hint="eastAsia"/>
          <w:color w:val="FF0000"/>
          <w:lang w:val="en-US" w:eastAsia="zh-CN"/>
        </w:rPr>
      </w:pPr>
      <w:r>
        <w:rPr>
          <w:rFonts w:hint="eastAsia" w:asciiTheme="minorEastAsia" w:hAnsiTheme="minorEastAsia" w:eastAsiaTheme="minorEastAsia" w:cstheme="minorEastAsia"/>
          <w:color w:val="FF0000"/>
          <w:sz w:val="28"/>
          <w:szCs w:val="28"/>
        </w:rPr>
        <mc:AlternateContent>
          <mc:Choice Requires="wpg">
            <w:drawing>
              <wp:anchor distT="0" distB="0" distL="114300" distR="114300" simplePos="0" relativeHeight="251662336" behindDoc="0" locked="0" layoutInCell="1" allowOverlap="1">
                <wp:simplePos x="0" y="0"/>
                <wp:positionH relativeFrom="column">
                  <wp:posOffset>-328930</wp:posOffset>
                </wp:positionH>
                <wp:positionV relativeFrom="paragraph">
                  <wp:posOffset>96520</wp:posOffset>
                </wp:positionV>
                <wp:extent cx="6329680" cy="3856355"/>
                <wp:effectExtent l="6350" t="6350" r="7620" b="23495"/>
                <wp:wrapNone/>
                <wp:docPr id="25" name="组合 25"/>
                <wp:cNvGraphicFramePr/>
                <a:graphic xmlns:a="http://schemas.openxmlformats.org/drawingml/2006/main">
                  <a:graphicData uri="http://schemas.microsoft.com/office/word/2010/wordprocessingGroup">
                    <wpg:wgp>
                      <wpg:cNvGrpSpPr/>
                      <wpg:grpSpPr>
                        <a:xfrm>
                          <a:off x="0" y="0"/>
                          <a:ext cx="6329680" cy="3856355"/>
                          <a:chOff x="6826" y="143697"/>
                          <a:chExt cx="9968" cy="6073"/>
                        </a:xfrm>
                      </wpg:grpSpPr>
                      <wps:wsp>
                        <wps:cNvPr id="1" name="矩形 1"/>
                        <wps:cNvSpPr/>
                        <wps:spPr>
                          <a:xfrm>
                            <a:off x="9115" y="143697"/>
                            <a:ext cx="4070" cy="1393"/>
                          </a:xfrm>
                          <a:prstGeom prst="rect">
                            <a:avLst/>
                          </a:prstGeom>
                          <a:solidFill>
                            <a:srgbClr val="FFFFFF"/>
                          </a:solidFill>
                          <a:ln w="12700" cap="flat" cmpd="sng" algn="ctr">
                            <a:solidFill>
                              <a:srgbClr val="000000"/>
                            </a:solidFill>
                            <a:prstDash val="solid"/>
                            <a:miter lim="800000"/>
                          </a:ln>
                          <a:effectLst/>
                        </wps:spPr>
                        <wps:txbx>
                          <w:txbxContent>
                            <w:p>
                              <w:pPr>
                                <w:jc w:val="center"/>
                                <w:rPr>
                                  <w:rFonts w:hint="default"/>
                                  <w:sz w:val="28"/>
                                  <w:szCs w:val="28"/>
                                  <w:lang w:val="en-US" w:eastAsia="zh-CN"/>
                                </w:rPr>
                              </w:pPr>
                              <w:r>
                                <w:rPr>
                                  <w:rFonts w:hint="eastAsia"/>
                                  <w:sz w:val="28"/>
                                  <w:szCs w:val="28"/>
                                  <w:lang w:val="en-US" w:eastAsia="zh-CN"/>
                                </w:rPr>
                                <w:t>开州区白水村黄金河饮用水水源地突发环境事件应急指挥部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 name="矩形 10"/>
                        <wps:cNvSpPr/>
                        <wps:spPr>
                          <a:xfrm>
                            <a:off x="12925" y="145820"/>
                            <a:ext cx="3325" cy="938"/>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宋体"/>
                                  <w:sz w:val="28"/>
                                  <w:szCs w:val="28"/>
                                  <w:lang w:val="en-US" w:eastAsia="zh-CN"/>
                                </w:rPr>
                              </w:pPr>
                              <w:r>
                                <w:rPr>
                                  <w:rFonts w:hint="eastAsia"/>
                                  <w:sz w:val="28"/>
                                  <w:szCs w:val="28"/>
                                  <w:lang w:val="en-US" w:eastAsia="zh-CN"/>
                                </w:rPr>
                                <w:t>应急办公室</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 name="肘形连接符 12"/>
                        <wps:cNvCnPr>
                          <a:stCxn id="1" idx="2"/>
                          <a:endCxn id="10" idx="1"/>
                        </wps:cNvCnPr>
                        <wps:spPr>
                          <a:xfrm rot="5400000" flipV="1">
                            <a:off x="11438" y="144802"/>
                            <a:ext cx="1199" cy="1775"/>
                          </a:xfrm>
                          <a:prstGeom prst="bentConnector2">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13" name="矩形 13"/>
                        <wps:cNvSpPr/>
                        <wps:spPr>
                          <a:xfrm>
                            <a:off x="6826" y="148633"/>
                            <a:ext cx="2313" cy="1137"/>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b w:val="0"/>
                                  <w:bCs w:val="0"/>
                                </w:rPr>
                              </w:pPr>
                              <w:r>
                                <w:rPr>
                                  <w:rFonts w:hint="eastAsia" w:ascii="宋体" w:hAnsi="宋体" w:eastAsia="宋体" w:cs="宋体"/>
                                  <w:b w:val="0"/>
                                  <w:bCs w:val="0"/>
                                  <w:color w:val="auto"/>
                                  <w:sz w:val="28"/>
                                  <w:szCs w:val="28"/>
                                  <w:lang w:val="en-US" w:eastAsia="zh-CN"/>
                                </w:rPr>
                                <w:t>现场处置组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 name="矩形 14"/>
                        <wps:cNvSpPr/>
                        <wps:spPr>
                          <a:xfrm>
                            <a:off x="9404" y="148633"/>
                            <a:ext cx="2313" cy="1137"/>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b w:val="0"/>
                                  <w:bCs w:val="0"/>
                                </w:rPr>
                              </w:pPr>
                              <w:r>
                                <w:rPr>
                                  <w:rFonts w:hint="eastAsia" w:ascii="宋体" w:hAnsi="宋体" w:eastAsia="宋体" w:cs="宋体"/>
                                  <w:b w:val="0"/>
                                  <w:bCs w:val="0"/>
                                  <w:color w:val="auto"/>
                                  <w:sz w:val="28"/>
                                  <w:szCs w:val="28"/>
                                  <w:lang w:val="en-US" w:eastAsia="zh-CN"/>
                                </w:rPr>
                                <w:t>综合协调组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 name="矩形 15"/>
                        <wps:cNvSpPr/>
                        <wps:spPr>
                          <a:xfrm>
                            <a:off x="11981" y="148633"/>
                            <a:ext cx="2313" cy="1137"/>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pPr>
                              <w:r>
                                <w:rPr>
                                  <w:rFonts w:hint="eastAsia" w:ascii="宋体" w:hAnsi="宋体" w:eastAsia="宋体" w:cs="宋体"/>
                                  <w:b w:val="0"/>
                                  <w:bCs w:val="0"/>
                                  <w:color w:val="auto"/>
                                  <w:sz w:val="28"/>
                                  <w:szCs w:val="28"/>
                                  <w:lang w:val="en-US" w:eastAsia="zh-CN"/>
                                </w:rPr>
                                <w:t>应急保障组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 name="矩形 16"/>
                        <wps:cNvSpPr/>
                        <wps:spPr>
                          <a:xfrm>
                            <a:off x="14481" y="148633"/>
                            <a:ext cx="2313" cy="1137"/>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pPr>
                              <w:r>
                                <w:rPr>
                                  <w:rFonts w:hint="eastAsia" w:ascii="宋体" w:hAnsi="宋体" w:eastAsia="宋体" w:cs="宋体"/>
                                  <w:b w:val="0"/>
                                  <w:bCs w:val="0"/>
                                  <w:color w:val="auto"/>
                                  <w:sz w:val="28"/>
                                  <w:szCs w:val="28"/>
                                  <w:lang w:val="en-US" w:eastAsia="zh-CN"/>
                                </w:rPr>
                                <w:t>应</w:t>
                              </w:r>
                              <w:r>
                                <w:rPr>
                                  <w:rFonts w:hint="eastAsia" w:ascii="宋体" w:hAnsi="宋体" w:eastAsia="宋体" w:cs="宋体"/>
                                  <w:b w:val="0"/>
                                  <w:bCs w:val="0"/>
                                  <w:i w:val="0"/>
                                  <w:iCs w:val="0"/>
                                  <w:color w:val="auto"/>
                                  <w:sz w:val="28"/>
                                  <w:szCs w:val="28"/>
                                  <w:lang w:val="en-US" w:eastAsia="zh-CN"/>
                                </w:rPr>
                                <w:t>急监测组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 name="肘形连接符 20"/>
                        <wps:cNvCnPr>
                          <a:endCxn id="13" idx="0"/>
                        </wps:cNvCnPr>
                        <wps:spPr>
                          <a:xfrm rot="10800000" flipV="1">
                            <a:off x="7983" y="147341"/>
                            <a:ext cx="3218" cy="1292"/>
                          </a:xfrm>
                          <a:prstGeom prst="bentConnector2">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21" name="肘形连接符 21"/>
                        <wps:cNvCnPr>
                          <a:endCxn id="16" idx="0"/>
                        </wps:cNvCnPr>
                        <wps:spPr>
                          <a:xfrm>
                            <a:off x="11226" y="147341"/>
                            <a:ext cx="4412" cy="1292"/>
                          </a:xfrm>
                          <a:prstGeom prst="bentConnector2">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23" name="直接箭头连接符 23"/>
                        <wps:cNvCnPr>
                          <a:endCxn id="14" idx="0"/>
                        </wps:cNvCnPr>
                        <wps:spPr>
                          <a:xfrm>
                            <a:off x="10551" y="147341"/>
                            <a:ext cx="10" cy="1292"/>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24" name="直接箭头连接符 24"/>
                        <wps:cNvCnPr>
                          <a:endCxn id="15" idx="0"/>
                        </wps:cNvCnPr>
                        <wps:spPr>
                          <a:xfrm>
                            <a:off x="13138" y="147328"/>
                            <a:ext cx="0" cy="130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id="_x0000_s1026" o:spid="_x0000_s1026" o:spt="203" style="position:absolute;left:0pt;margin-left:-25.9pt;margin-top:7.6pt;height:303.65pt;width:498.4pt;z-index:251662336;mso-width-relative:page;mso-height-relative:page;" coordorigin="6826,143697" coordsize="9968,6073" o:gfxdata="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">
                <o:lock v:ext="edit" aspectratio="f"/>
                <v:rect id="_x0000_s1026" o:spid="_x0000_s1026" o:spt="1" style="position:absolute;left:9115;top:143697;height:1393;width:4070;v-text-anchor:middle;" fillcolor="#FFFFFF" filled="t" stroked="t" coordsize="21600,21600" o:gfxdata="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J/DIW5AAAA2gAA&#10;AA8AAAAAAAAAAQAgAAAAIgAAAGRycy9kb3ducmV2LnhtbFBLAQIUABQAAAAIAIdO4kAzLwWeOwAA&#10;ADkAAAAQAAAAAAAAAAEAIAAAAAgBAABkcnMvc2hhcGV4bWwueG1sUEsFBgAAAAAGAAYAWwEAALID&#10;AAAAAA==&#10;">
                  <v:fill on="t" focussize="0,0"/>
                  <v:stroke weight="1pt" color="#000000" miterlimit="8" joinstyle="miter"/>
                  <v:imagedata o:title=""/>
                  <o:lock v:ext="edit" aspectratio="f"/>
                  <v:textbox>
                    <w:txbxContent>
                      <w:p>
                        <w:pPr>
                          <w:jc w:val="center"/>
                          <w:rPr>
                            <w:rFonts w:hint="default"/>
                            <w:sz w:val="28"/>
                            <w:szCs w:val="28"/>
                            <w:lang w:val="en-US" w:eastAsia="zh-CN"/>
                          </w:rPr>
                        </w:pPr>
                        <w:r>
                          <w:rPr>
                            <w:rFonts w:hint="eastAsia"/>
                            <w:sz w:val="28"/>
                            <w:szCs w:val="28"/>
                            <w:lang w:val="en-US" w:eastAsia="zh-CN"/>
                          </w:rPr>
                          <w:t>开州区白水村黄金河饮用水水源地突发环境事件应急指挥部</w:t>
                        </w:r>
                      </w:p>
                    </w:txbxContent>
                  </v:textbox>
                </v:rect>
                <v:rect id="_x0000_s1026" o:spid="_x0000_s1026" o:spt="1" style="position:absolute;left:12925;top:145820;height:938;width:3325;v-text-anchor:middle;" fillcolor="#FFFFFF [3201]" filled="t" stroked="t" coordsize="21600,21600" o:gfxdata="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lAIhvQAA&#10;ANs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textbox>
                    <w:txbxContent>
                      <w:p>
                        <w:pPr>
                          <w:jc w:val="center"/>
                          <w:rPr>
                            <w:rFonts w:hint="default" w:eastAsia="宋体"/>
                            <w:sz w:val="28"/>
                            <w:szCs w:val="28"/>
                            <w:lang w:val="en-US" w:eastAsia="zh-CN"/>
                          </w:rPr>
                        </w:pPr>
                        <w:r>
                          <w:rPr>
                            <w:rFonts w:hint="eastAsia"/>
                            <w:sz w:val="28"/>
                            <w:szCs w:val="28"/>
                            <w:lang w:val="en-US" w:eastAsia="zh-CN"/>
                          </w:rPr>
                          <w:t>应急办公室</w:t>
                        </w:r>
                      </w:p>
                    </w:txbxContent>
                  </v:textbox>
                </v:rect>
                <v:shape id="_x0000_s1026" o:spid="_x0000_s1026" o:spt="33" type="#_x0000_t33" style="position:absolute;left:11438;top:144802;flip:y;height:1775;width:1199;rotation:-5898240f;" filled="f" stroked="t" coordsize="21600,21600" o:gfxdata="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aH1Xr4A&#10;AADb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rect id="_x0000_s1026" o:spid="_x0000_s1026" o:spt="1" style="position:absolute;left:6826;top:148633;height:1137;width:2313;v-text-anchor:middle;" fillcolor="#FFFFFF [3201]" filled="t" stroked="t" coordsize="21600,21600" o:gfxdata="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EacVrsAAADb&#10;AAAADwAAAAAAAAABACAAAAAiAAAAZHJzL2Rvd25yZXYueG1sUEsBAhQAFAAAAAgAh07iQDMvBZ47&#10;AAAAOQAAABAAAAAAAAAAAQAgAAAACgEAAGRycy9zaGFwZXhtbC54bWxQSwUGAAAAAAYABgBbAQAA&#10;tAMAAAAA&#10;">
                  <v:fill on="t" focussize="0,0"/>
                  <v:stroke weight="1pt" color="#000000 [3200]" miterlimit="8" joinstyle="miter"/>
                  <v:imagedata o:title=""/>
                  <o:lock v:ext="edit" aspectratio="f"/>
                  <v:textbox>
                    <w:txbxContent>
                      <w:p>
                        <w:pPr>
                          <w:jc w:val="center"/>
                          <w:rPr>
                            <w:b w:val="0"/>
                            <w:bCs w:val="0"/>
                          </w:rPr>
                        </w:pPr>
                        <w:r>
                          <w:rPr>
                            <w:rFonts w:hint="eastAsia" w:ascii="宋体" w:hAnsi="宋体" w:eastAsia="宋体" w:cs="宋体"/>
                            <w:b w:val="0"/>
                            <w:bCs w:val="0"/>
                            <w:color w:val="auto"/>
                            <w:sz w:val="28"/>
                            <w:szCs w:val="28"/>
                            <w:lang w:val="en-US" w:eastAsia="zh-CN"/>
                          </w:rPr>
                          <w:t>现场处置组</w:t>
                        </w:r>
                      </w:p>
                    </w:txbxContent>
                  </v:textbox>
                </v:rect>
                <v:rect id="_x0000_s1026" o:spid="_x0000_s1026" o:spt="1" style="position:absolute;left:9404;top:148633;height:1137;width:2313;v-text-anchor:middle;" fillcolor="#FFFFFF [3201]" filled="t" stroked="t" coordsize="21600,21600" o:gfxdata="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68EIrsAAADb&#10;AAAADwAAAAAAAAABACAAAAAiAAAAZHJzL2Rvd25yZXYueG1sUEsBAhQAFAAAAAgAh07iQDMvBZ47&#10;AAAAOQAAABAAAAAAAAAAAQAgAAAACgEAAGRycy9zaGFwZXhtbC54bWxQSwUGAAAAAAYABgBbAQAA&#10;tAMAAAAA&#10;">
                  <v:fill on="t" focussize="0,0"/>
                  <v:stroke weight="1pt" color="#000000 [3200]" miterlimit="8" joinstyle="miter"/>
                  <v:imagedata o:title=""/>
                  <o:lock v:ext="edit" aspectratio="f"/>
                  <v:textbox>
                    <w:txbxContent>
                      <w:p>
                        <w:pPr>
                          <w:jc w:val="center"/>
                          <w:rPr>
                            <w:b w:val="0"/>
                            <w:bCs w:val="0"/>
                          </w:rPr>
                        </w:pPr>
                        <w:r>
                          <w:rPr>
                            <w:rFonts w:hint="eastAsia" w:ascii="宋体" w:hAnsi="宋体" w:eastAsia="宋体" w:cs="宋体"/>
                            <w:b w:val="0"/>
                            <w:bCs w:val="0"/>
                            <w:color w:val="auto"/>
                            <w:sz w:val="28"/>
                            <w:szCs w:val="28"/>
                            <w:lang w:val="en-US" w:eastAsia="zh-CN"/>
                          </w:rPr>
                          <w:t>综合协调组</w:t>
                        </w:r>
                      </w:p>
                    </w:txbxContent>
                  </v:textbox>
                </v:rect>
                <v:rect id="_x0000_s1026" o:spid="_x0000_s1026" o:spt="1" style="position:absolute;left:11981;top:148633;height:1137;width:2313;v-text-anchor:middle;" fillcolor="#FFFFFF [3201]" filled="t" stroked="t" coordsize="21600,21600" o:gfxdata="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OOhubsAAADb&#10;AAAADwAAAAAAAAABACAAAAAiAAAAZHJzL2Rvd25yZXYueG1sUEsBAhQAFAAAAAgAh07iQDMvBZ47&#10;AAAAOQAAABAAAAAAAAAAAQAgAAAACgEAAGRycy9zaGFwZXhtbC54bWxQSwUGAAAAAAYABgBbAQAA&#10;tAMAAAAA&#10;">
                  <v:fill on="t" focussize="0,0"/>
                  <v:stroke weight="1pt" color="#000000 [3200]" miterlimit="8" joinstyle="miter"/>
                  <v:imagedata o:title=""/>
                  <o:lock v:ext="edit" aspectratio="f"/>
                  <v:textbox>
                    <w:txbxContent>
                      <w:p>
                        <w:pPr>
                          <w:jc w:val="center"/>
                        </w:pPr>
                        <w:r>
                          <w:rPr>
                            <w:rFonts w:hint="eastAsia" w:ascii="宋体" w:hAnsi="宋体" w:eastAsia="宋体" w:cs="宋体"/>
                            <w:b w:val="0"/>
                            <w:bCs w:val="0"/>
                            <w:color w:val="auto"/>
                            <w:sz w:val="28"/>
                            <w:szCs w:val="28"/>
                            <w:lang w:val="en-US" w:eastAsia="zh-CN"/>
                          </w:rPr>
                          <w:t>应急保障组</w:t>
                        </w:r>
                      </w:p>
                    </w:txbxContent>
                  </v:textbox>
                </v:rect>
                <v:rect id="_x0000_s1026" o:spid="_x0000_s1026" o:spt="1" style="position:absolute;left:14481;top:148633;height:1137;width:2313;v-text-anchor:middle;" fillcolor="#FFFFFF [3201]" filled="t" stroked="t" coordsize="21600,21600" o:gfxdata="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MT/OugAAANsA&#10;AAAPAAAAAAAAAAEAIAAAACIAAABkcnMvZG93bnJldi54bWxQSwECFAAUAAAACACHTuJAMy8FnjsA&#10;AAA5AAAAEAAAAAAAAAABACAAAAAJAQAAZHJzL3NoYXBleG1sLnhtbFBLBQYAAAAABgAGAFsBAACz&#10;AwAAAAA=&#10;">
                  <v:fill on="t" focussize="0,0"/>
                  <v:stroke weight="1pt" color="#000000 [3200]" miterlimit="8" joinstyle="miter"/>
                  <v:imagedata o:title=""/>
                  <o:lock v:ext="edit" aspectratio="f"/>
                  <v:textbox>
                    <w:txbxContent>
                      <w:p>
                        <w:pPr>
                          <w:jc w:val="center"/>
                        </w:pPr>
                        <w:r>
                          <w:rPr>
                            <w:rFonts w:hint="eastAsia" w:ascii="宋体" w:hAnsi="宋体" w:eastAsia="宋体" w:cs="宋体"/>
                            <w:b w:val="0"/>
                            <w:bCs w:val="0"/>
                            <w:color w:val="auto"/>
                            <w:sz w:val="28"/>
                            <w:szCs w:val="28"/>
                            <w:lang w:val="en-US" w:eastAsia="zh-CN"/>
                          </w:rPr>
                          <w:t>应</w:t>
                        </w:r>
                        <w:r>
                          <w:rPr>
                            <w:rFonts w:hint="eastAsia" w:ascii="宋体" w:hAnsi="宋体" w:eastAsia="宋体" w:cs="宋体"/>
                            <w:b w:val="0"/>
                            <w:bCs w:val="0"/>
                            <w:i w:val="0"/>
                            <w:iCs w:val="0"/>
                            <w:color w:val="auto"/>
                            <w:sz w:val="28"/>
                            <w:szCs w:val="28"/>
                            <w:lang w:val="en-US" w:eastAsia="zh-CN"/>
                          </w:rPr>
                          <w:t>急监测组</w:t>
                        </w:r>
                      </w:p>
                    </w:txbxContent>
                  </v:textbox>
                </v:rect>
                <v:shape id="_x0000_s1026" o:spid="_x0000_s1026" o:spt="33" type="#_x0000_t33" style="position:absolute;left:7983;top:147341;flip:y;height:1292;width:3218;rotation:11796480f;" filled="f" stroked="t" coordsize="21600,21600" o:gfxdata="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ZYknK7gAAADbAAAA&#10;DwAAAAAAAAABACAAAAAiAAAAZHJzL2Rvd25yZXYueG1sUEsBAhQAFAAAAAgAh07iQDMvBZ47AAAA&#10;OQAAABAAAAAAAAAAAQAgAAAABwEAAGRycy9zaGFwZXhtbC54bWxQSwUGAAAAAAYABgBbAQAAsQMA&#10;AAAA&#10;">
                  <v:fill on="f" focussize="0,0"/>
                  <v:stroke weight="0.5pt" color="#000000 [3200]" miterlimit="8" joinstyle="miter" endarrow="open"/>
                  <v:imagedata o:title=""/>
                  <o:lock v:ext="edit" aspectratio="f"/>
                </v:shape>
                <v:shape id="_x0000_s1026" o:spid="_x0000_s1026" o:spt="33" type="#_x0000_t33" style="position:absolute;left:11226;top:147341;height:1292;width:4412;" filled="f" stroked="t" coordsize="21600,21600" o:gfxdata="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InbnugAAANsA&#10;AAAPAAAAAAAAAAEAIAAAACIAAABkcnMvZG93bnJldi54bWxQSwECFAAUAAAACACHTuJAMy8FnjsA&#10;AAA5AAAAEAAAAAAAAAABACAAAAAJAQAAZHJzL3NoYXBleG1sLnhtbFBLBQYAAAAABgAGAFsBAACz&#10;AwAAAAA=&#10;">
                  <v:fill on="f" focussize="0,0"/>
                  <v:stroke weight="0.5pt" color="#000000 [3200]" miterlimit="8" joinstyle="miter" endarrow="open"/>
                  <v:imagedata o:title=""/>
                  <o:lock v:ext="edit" aspectratio="f"/>
                </v:shape>
                <v:shape id="_x0000_s1026" o:spid="_x0000_s1026" o:spt="32" type="#_x0000_t32" style="position:absolute;left:10551;top:147341;height:1292;width:10;" filled="f" stroked="t" coordsize="21600,21600" o:gfxdata="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Mrk4vQAA&#10;ANsAAAAPAAAAAAAAAAEAIAAAACIAAABkcnMvZG93bnJldi54bWxQSwECFAAUAAAACACHTuJAMy8F&#10;njsAAAA5AAAAEAAAAAAAAAABACAAAAAMAQAAZHJzL3NoYXBleG1sLnhtbFBLBQYAAAAABgAGAFsB&#10;AAC2AwAAAAA=&#10;">
                  <v:fill on="f" focussize="0,0"/>
                  <v:stroke weight="0.5pt" color="#000000 [3200]" miterlimit="8" joinstyle="miter" endarrow="open"/>
                  <v:imagedata o:title=""/>
                  <o:lock v:ext="edit" aspectratio="f"/>
                </v:shape>
                <v:shape id="_x0000_s1026" o:spid="_x0000_s1026" o:spt="32" type="#_x0000_t32" style="position:absolute;left:13138;top:147328;height:1305;width:0;" filled="f" stroked="t" coordsize="21600,21600" o:gfxdata="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dshTL4A&#10;AADb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group>
            </w:pict>
          </mc:Fallback>
        </mc:AlternateConten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en-US" w:eastAsia="zh-CN"/>
        </w:rPr>
      </w:pPr>
      <w:r>
        <w:rPr>
          <w:rFonts w:hint="eastAsia" w:asciiTheme="minorEastAsia" w:hAnsiTheme="minorEastAsia" w:eastAsiaTheme="minorEastAsia" w:cstheme="minorEastAsia"/>
          <w:color w:val="FF0000"/>
          <w:sz w:val="28"/>
          <w:szCs w:val="28"/>
        </w:rPr>
        <mc:AlternateContent>
          <mc:Choice Requires="wps">
            <w:drawing>
              <wp:anchor distT="0" distB="0" distL="114300" distR="114300" simplePos="0" relativeHeight="251661312" behindDoc="0" locked="0" layoutInCell="1" allowOverlap="1">
                <wp:simplePos x="0" y="0"/>
                <wp:positionH relativeFrom="column">
                  <wp:posOffset>2416810</wp:posOffset>
                </wp:positionH>
                <wp:positionV relativeFrom="paragraph">
                  <wp:posOffset>1433830</wp:posOffset>
                </wp:positionV>
                <wp:extent cx="0" cy="682625"/>
                <wp:effectExtent l="4445" t="0" r="14605" b="3175"/>
                <wp:wrapNone/>
                <wp:docPr id="19" name="直接连接符 19"/>
                <wp:cNvGraphicFramePr/>
                <a:graphic xmlns:a="http://schemas.openxmlformats.org/drawingml/2006/main">
                  <a:graphicData uri="http://schemas.microsoft.com/office/word/2010/wordprocessingShape">
                    <wps:wsp>
                      <wps:cNvCnPr/>
                      <wps:spPr>
                        <a:xfrm>
                          <a:off x="3514725" y="5740400"/>
                          <a:ext cx="0" cy="6826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90.3pt;margin-top:112.9pt;height:53.75pt;width:0pt;z-index:251661312;mso-width-relative:page;mso-height-relative:page;" filled="f" stroked="t" coordsize="21600,21600" o:gfxdata="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JBu7F1gAAAAsBAAAPAAAAAAAAAAEAIAAAACIAAABkcnMvZG93bnJldi54bWxQSwECFAAUAAAA&#10;CACHTuJAqZyJ1/ABAAC+AwAADgAAAAAAAAABACAAAAAlAQAAZHJzL2Uyb0RvYy54bWxQSwUGAAAA&#10;AAYABgBZAQAAhwUAAAAA&#10;">
                <v:fill on="f" focussize="0,0"/>
                <v:stroke weight="0.5pt" color="#000000 [3200]" miterlimit="8" joinstyle="miter"/>
                <v:imagedata o:title=""/>
                <o:lock v:ext="edit" aspectratio="f"/>
              </v:line>
            </w:pict>
          </mc:Fallback>
        </mc:AlternateContent>
      </w:r>
      <w:r>
        <w:rPr>
          <w:rFonts w:hint="eastAsia" w:asciiTheme="minorEastAsia" w:hAnsiTheme="minorEastAsia" w:eastAsiaTheme="minorEastAsia" w:cstheme="minorEastAsia"/>
          <w:color w:val="FF0000"/>
          <w:sz w:val="28"/>
          <w:szCs w:val="28"/>
          <w:lang w:val="en-US" w:eastAsia="zh-CN"/>
        </w:rPr>
        <w:br w:type="page"/>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3.1.2机构职责</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3.1.2.1 总指挥职责：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1）宣布成立现场应急指挥部；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2）发生水源地突发环境事件时，亲自或委托副总指挥赶赴现场进行指挥；</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3）组织开展现场应急处置；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4）贯彻执行当地或上级人民政府及有关部门的应急指令；</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5）研判突发环境事件发展态势，组织制定并批准现场处置方案；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6）按照预警、应急启动或终止条件，决定预案的启动或终止；</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7）组织开展损害评估等后期工作。</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3.1.2.2 副总指挥职责：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1）协助总指挥组织开展现场应急处置；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2）根据分工或总指挥安排，负责现场的具体指挥协调；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3）负责提出有关应急处置建议；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4）负责向场外人员通报有关应急信息；</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5）负责协调现场与场外应急处置工作；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6）停止取水后，负责协调保障居民用水；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7）处置现场出现的紧急情况。</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3.1.2.3 应急办公室职责：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bookmarkStart w:id="48" w:name="_Toc6645"/>
      <w:r>
        <w:rPr>
          <w:rFonts w:hint="eastAsia" w:asciiTheme="minorEastAsia" w:hAnsiTheme="minorEastAsia" w:eastAsiaTheme="minorEastAsia" w:cstheme="minorEastAsia"/>
          <w:color w:val="auto"/>
          <w:sz w:val="28"/>
          <w:szCs w:val="28"/>
          <w:lang w:val="en-US" w:eastAsia="zh-CN"/>
        </w:rPr>
        <w:t>1）贯彻执行应急指挥部的指令和要求；</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2）负责信息汇总上报，并与有关的外部应急部门、组织和机构进行联络；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3）负责调动应急人员、调配应急资源和联络外部应急组织或机构，组织和协调有关部门参与现场应急处置。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color w:val="auto"/>
          <w:sz w:val="28"/>
          <w:szCs w:val="28"/>
          <w:lang w:val="en-US" w:eastAsia="zh-CN"/>
        </w:rPr>
      </w:pPr>
      <w:r>
        <w:rPr>
          <w:rFonts w:hint="eastAsia"/>
          <w:b/>
          <w:bCs/>
          <w:color w:val="auto"/>
          <w:sz w:val="28"/>
          <w:szCs w:val="28"/>
          <w:lang w:val="en-US" w:eastAsia="zh-CN"/>
        </w:rPr>
        <w:t>3.1.3 现场应急工作组：</w:t>
      </w:r>
      <w:bookmarkEnd w:id="48"/>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color w:val="auto"/>
          <w:sz w:val="28"/>
          <w:szCs w:val="28"/>
          <w:lang w:val="en-US" w:eastAsia="zh-CN"/>
        </w:rPr>
      </w:pPr>
      <w:r>
        <w:rPr>
          <w:rFonts w:hint="eastAsia"/>
          <w:b/>
          <w:bCs/>
          <w:color w:val="auto"/>
          <w:sz w:val="28"/>
          <w:szCs w:val="28"/>
          <w:lang w:val="en-US" w:eastAsia="zh-CN"/>
        </w:rPr>
        <w:t>3.1.3.1 现场处置组：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1）负责组织制定应急处置方案；负责现场污染物消除、围堵和削减，以及污染物收集、转运和异地处置等工作。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2）封锁现场，实施交通管制；监控事件责任人员；加强受影响人群临时饮用水供应；加强重要生活必需品等商品市场监管和调控；加强社会治安管理，防止发生群体性事件；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3）组织开展伤病员医疗救治、应急心理援助；指导和协助开展受污染人员的去污洗消工作；对现场进行消毒防疫，防范因环境突发事件造成中毒事件等。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color w:val="auto"/>
          <w:sz w:val="28"/>
          <w:szCs w:val="28"/>
          <w:lang w:val="en-US" w:eastAsia="zh-CN"/>
        </w:rPr>
      </w:pPr>
      <w:r>
        <w:rPr>
          <w:rFonts w:hint="eastAsia"/>
          <w:b/>
          <w:bCs/>
          <w:color w:val="auto"/>
          <w:sz w:val="28"/>
          <w:szCs w:val="28"/>
          <w:lang w:val="en-US" w:eastAsia="zh-CN"/>
        </w:rPr>
        <w:t>3.1.3.2 综合协调组：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1）制定人员疏散方案，并组织实施，做好受影响人员转移疏散和临时安置。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2）负责制定应急供水保障方案；负责指导供水单位启动深度处 理设施或备用水源以及应急供水车等措施，保障居民用水。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3）统一组织开展事件进展、应急工作情况信息发布，开展新闻 宣传报道；收集舆情和社会公众动态，加强媒体和互联网管理；</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4）协调污染损害赔付及灾民安抚工作。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color w:val="auto"/>
          <w:sz w:val="28"/>
          <w:szCs w:val="28"/>
          <w:lang w:val="en-US" w:eastAsia="zh-CN"/>
        </w:rPr>
      </w:pPr>
      <w:r>
        <w:rPr>
          <w:rFonts w:hint="eastAsia"/>
          <w:b/>
          <w:bCs/>
          <w:color w:val="auto"/>
          <w:sz w:val="28"/>
          <w:szCs w:val="28"/>
          <w:lang w:val="en-US" w:eastAsia="zh-CN"/>
        </w:rPr>
        <w:t>3.1.3.3 应急保障组：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1）负责制定应急物资保障方案；负责调配应急物资、协调运输车辆；</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2）负责协调补偿征用物资、应急救援和污染物处置等费用。调查引发饮用水源突发污染事件的原因、财产损失和人员伤亡等情况。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color w:val="auto"/>
          <w:sz w:val="28"/>
          <w:szCs w:val="28"/>
          <w:lang w:val="en-US" w:eastAsia="zh-CN"/>
        </w:rPr>
      </w:pPr>
      <w:r>
        <w:rPr>
          <w:rFonts w:hint="eastAsia"/>
          <w:b/>
          <w:bCs/>
          <w:color w:val="auto"/>
          <w:sz w:val="28"/>
          <w:szCs w:val="28"/>
          <w:lang w:val="en-US" w:eastAsia="zh-CN"/>
        </w:rPr>
        <w:t>3.1.3.4 应急监测组：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负责制定应急监测方案；负责在污染带上游、下游分别设置断面进行应急监测；负责应急期间的水源地、供水单位和管网末梢水的水质监测；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1"/>
        <w:rPr>
          <w:rFonts w:hint="eastAsia"/>
          <w:b/>
          <w:bCs/>
          <w:color w:val="auto"/>
          <w:sz w:val="28"/>
          <w:szCs w:val="28"/>
          <w:lang w:val="en-US" w:eastAsia="zh-CN"/>
        </w:rPr>
      </w:pPr>
      <w:bookmarkStart w:id="49" w:name="_Toc17703"/>
      <w:r>
        <w:rPr>
          <w:rFonts w:hint="eastAsia"/>
          <w:b/>
          <w:bCs/>
          <w:color w:val="auto"/>
          <w:sz w:val="28"/>
          <w:szCs w:val="28"/>
          <w:lang w:val="en-US" w:eastAsia="zh-CN"/>
        </w:rPr>
        <w:t>3.2 各部门应急职责：</w:t>
      </w:r>
      <w:bookmarkEnd w:id="49"/>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农业服务中心：</w:t>
      </w:r>
      <w:r>
        <w:rPr>
          <w:rFonts w:hint="eastAsia" w:hAnsi="Times New Roman" w:eastAsiaTheme="minorEastAsia"/>
          <w:color w:val="auto"/>
          <w:sz w:val="28"/>
          <w:szCs w:val="28"/>
          <w:lang w:val="en-US" w:eastAsia="zh-CN"/>
        </w:rPr>
        <w:t>管理暴雨期间入河农灌退水排放行为，防范农业面源导致的水源地突发环境事件；协助处置因农业面源、渔业养殖导致的水源地突发环境事件。对具有农灌功能的水源地， 在应急期间暂停农灌取水。负责对渔业水体污染事故和畜禽养殖 引发的突发环境事件的预防和应急工作实施监督管理。</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应急管理办：</w:t>
      </w:r>
      <w:r>
        <w:rPr>
          <w:rFonts w:hint="eastAsia" w:hAnsi="Times New Roman" w:eastAsiaTheme="minorEastAsia"/>
          <w:color w:val="auto"/>
          <w:sz w:val="28"/>
          <w:szCs w:val="28"/>
          <w:lang w:val="en-US" w:eastAsia="zh-CN"/>
        </w:rPr>
        <w:t>防范企业生产安全事故次生水源地突发环境事件，及时上报并通报事故信息；协助处置因生产安全事故引发的水源地突发环境事件；在处置火灾爆炸事故时， 防止消防水进入水源地及其连接水体。</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水利服务中心：</w:t>
      </w:r>
      <w:r>
        <w:rPr>
          <w:rFonts w:hint="eastAsia" w:hAnsi="Times New Roman" w:eastAsiaTheme="minorEastAsia"/>
          <w:color w:val="auto"/>
          <w:sz w:val="28"/>
          <w:szCs w:val="28"/>
          <w:lang w:val="en-US" w:eastAsia="zh-CN"/>
        </w:rPr>
        <w:t>按照应急指挥部要求，利用水利工程进行污染团拦截、降污或调水稀释等工作。提供受污染水体的水文资料。</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规划建设管理环保办：</w:t>
      </w:r>
      <w:r>
        <w:rPr>
          <w:rFonts w:hint="eastAsia" w:hAnsi="Times New Roman" w:eastAsiaTheme="minorEastAsia"/>
          <w:color w:val="auto"/>
          <w:sz w:val="28"/>
          <w:szCs w:val="28"/>
          <w:lang w:val="en-US" w:eastAsia="zh-CN"/>
        </w:rPr>
        <w:t>规划、建设和管理适用于水源地突发环境事件应急处置的场地；负责保障水源地突发事件应急处置的场地。</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平安建设办：</w:t>
      </w:r>
      <w:r>
        <w:rPr>
          <w:rFonts w:hint="eastAsia" w:hAnsi="Times New Roman" w:eastAsiaTheme="minorEastAsia"/>
          <w:color w:val="auto"/>
          <w:sz w:val="28"/>
          <w:szCs w:val="28"/>
          <w:lang w:val="en-US" w:eastAsia="zh-CN"/>
        </w:rPr>
        <w:t>负责协调和落实应急过程涉及到应急启用的市政道路、管网及其他市政基础设施配套措施。负责保障应急过程涉 及的市政道路及相关市政基础设施。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派出所：</w:t>
      </w:r>
      <w:r>
        <w:rPr>
          <w:rFonts w:hint="eastAsia" w:hAnsi="Times New Roman" w:eastAsiaTheme="minorEastAsia"/>
          <w:color w:val="auto"/>
          <w:sz w:val="28"/>
          <w:szCs w:val="28"/>
          <w:lang w:val="en-US" w:eastAsia="zh-CN"/>
        </w:rPr>
        <w:t>负责查处导致水源地突发环境事件的违法犯罪行 为。负责封锁现场，实施交通管制，监控事件责任人员；加强社 会治安管理，防止发生群体性事件。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党政办：</w:t>
      </w:r>
      <w:r>
        <w:rPr>
          <w:rFonts w:hint="eastAsia" w:hAnsi="Times New Roman" w:eastAsiaTheme="minorEastAsia"/>
          <w:color w:val="auto"/>
          <w:sz w:val="28"/>
          <w:szCs w:val="28"/>
          <w:lang w:val="en-US" w:eastAsia="zh-CN"/>
        </w:rPr>
        <w:t>负责应急期间新闻发布、对外通报和信息公开等工作。统一组织开展事件进展、应急工作情况信息发布，开展新闻宣传报道；收集舆情和社会公众动态，加强媒体和互联网管理；组织新闻发布，回应社会关切。</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人居环境服务中心：</w:t>
      </w:r>
      <w:r>
        <w:rPr>
          <w:rFonts w:hint="eastAsia" w:hAnsi="Times New Roman" w:eastAsiaTheme="minorEastAsia"/>
          <w:color w:val="auto"/>
          <w:sz w:val="28"/>
          <w:szCs w:val="28"/>
          <w:lang w:val="en-US" w:eastAsia="zh-CN"/>
        </w:rPr>
        <w:t>开展水源地污染防治的日常监督和管理；对环境污染事件的预防和应急工作实施监督管理。处置违法排污等导致的水源地突发环境事件；对突发环境事件现场及周围区域环境组织应急监测，提出防止事态扩大和控制污染的要求或者建议， 并对事件现场污染物的清除、安全转移以及生态破坏的恢复等工作予以指导。</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执法办：</w:t>
      </w:r>
      <w:r>
        <w:rPr>
          <w:rFonts w:hint="eastAsia" w:hAnsi="Times New Roman" w:eastAsiaTheme="minorEastAsia"/>
          <w:color w:val="auto"/>
          <w:sz w:val="28"/>
          <w:szCs w:val="28"/>
          <w:lang w:val="en-US" w:eastAsia="zh-CN"/>
        </w:rPr>
        <w:t>防范企业生产安全事故次生水源地突发环境事件，及时上报并通报事故信息；协助处置因生产安全事故引发的水源地突发环境事件；在处置火灾爆炸事故时， 防止消防水进入水源地及其连接水体。</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财政办：</w:t>
      </w:r>
      <w:r>
        <w:rPr>
          <w:rFonts w:hint="eastAsia" w:hAnsi="Times New Roman" w:eastAsiaTheme="minorEastAsia"/>
          <w:color w:val="auto"/>
          <w:sz w:val="28"/>
          <w:szCs w:val="28"/>
          <w:lang w:val="en-US" w:eastAsia="zh-CN"/>
        </w:rPr>
        <w:t>负责事故处置时，应急物资资金清算及保障。</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供电所：</w:t>
      </w:r>
      <w:r>
        <w:rPr>
          <w:rFonts w:hint="eastAsia" w:hAnsi="Times New Roman" w:eastAsiaTheme="minorEastAsia"/>
          <w:color w:val="auto"/>
          <w:sz w:val="28"/>
          <w:szCs w:val="28"/>
          <w:lang w:val="en-US" w:eastAsia="zh-CN"/>
        </w:rPr>
        <w:t>负责事故处置时，设备电力保障。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FF0000"/>
          <w:sz w:val="28"/>
          <w:szCs w:val="28"/>
          <w:lang w:val="en-US" w:eastAsia="zh-CN"/>
        </w:rPr>
      </w:pPr>
      <w:r>
        <w:rPr>
          <w:rFonts w:hint="eastAsia" w:asciiTheme="minorEastAsia" w:hAnsiTheme="minorEastAsia" w:eastAsiaTheme="minorEastAsia" w:cstheme="minorEastAsia"/>
          <w:color w:val="FF0000"/>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color w:val="auto"/>
          <w:sz w:val="32"/>
          <w:szCs w:val="32"/>
        </w:rPr>
      </w:pPr>
      <w:bookmarkStart w:id="50" w:name="_Toc9304"/>
      <w:r>
        <w:rPr>
          <w:rFonts w:hint="eastAsia" w:asciiTheme="minorEastAsia" w:hAnsiTheme="minorEastAsia" w:eastAsiaTheme="minorEastAsia" w:cstheme="minorEastAsia"/>
          <w:b/>
          <w:bCs/>
          <w:color w:val="auto"/>
          <w:sz w:val="32"/>
          <w:szCs w:val="32"/>
          <w:lang w:val="en-US" w:eastAsia="zh-CN"/>
        </w:rPr>
        <w:t>4应急响</w:t>
      </w:r>
      <w:r>
        <w:rPr>
          <w:rFonts w:hint="eastAsia" w:asciiTheme="minorEastAsia" w:hAnsiTheme="minorEastAsia" w:eastAsiaTheme="minorEastAsia" w:cstheme="minorEastAsia"/>
          <w:b/>
          <w:bCs/>
          <w:color w:val="auto"/>
          <w:sz w:val="32"/>
          <w:szCs w:val="32"/>
        </w:rPr>
        <w:t>应</w:t>
      </w:r>
      <w:bookmarkEnd w:id="50"/>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开州区白水村黄金河饮用水水源地突发环境事件应急响应程序包括信息收集和研判、预警、信息报告与通报、事态研判、应急监测、污染源排查与处置、应急处置、物资调集及应急设施启用、舆情监测与信息发布、响应终止等工作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应急响应流程图见图 4-1。</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drawing>
          <wp:inline distT="0" distB="0" distL="114300" distR="114300">
            <wp:extent cx="5081905" cy="5481320"/>
            <wp:effectExtent l="0" t="0" r="4445" b="508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21"/>
                    <a:stretch>
                      <a:fillRect/>
                    </a:stretch>
                  </pic:blipFill>
                  <pic:spPr>
                    <a:xfrm>
                      <a:off x="0" y="0"/>
                      <a:ext cx="5081905" cy="5481320"/>
                    </a:xfrm>
                    <a:prstGeom prst="rect">
                      <a:avLst/>
                    </a:prstGeom>
                    <a:noFill/>
                    <a:ln>
                      <a:noFill/>
                    </a:ln>
                  </pic:spPr>
                </pic:pic>
              </a:graphicData>
            </a:graphic>
          </wp:inline>
        </w:drawing>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en-US" w:eastAsia="zh-CN"/>
        </w:rPr>
      </w:pPr>
      <w:r>
        <w:rPr>
          <w:rFonts w:hint="eastAsia" w:asciiTheme="minorEastAsia" w:hAnsiTheme="minorEastAsia" w:eastAsiaTheme="minorEastAsia" w:cstheme="minorEastAsia"/>
          <w:color w:val="FF0000"/>
          <w:sz w:val="28"/>
          <w:szCs w:val="28"/>
        </w:rPr>
        <mc:AlternateContent>
          <mc:Choice Requires="wps">
            <w:drawing>
              <wp:anchor distT="0" distB="0" distL="114300" distR="114300" simplePos="0" relativeHeight="251659264" behindDoc="0" locked="0" layoutInCell="1" allowOverlap="1">
                <wp:simplePos x="0" y="0"/>
                <wp:positionH relativeFrom="column">
                  <wp:posOffset>1148715</wp:posOffset>
                </wp:positionH>
                <wp:positionV relativeFrom="paragraph">
                  <wp:posOffset>53340</wp:posOffset>
                </wp:positionV>
                <wp:extent cx="3541395" cy="536575"/>
                <wp:effectExtent l="0" t="0" r="1905" b="15875"/>
                <wp:wrapNone/>
                <wp:docPr id="5" name="矩形 5"/>
                <wp:cNvGraphicFramePr/>
                <a:graphic xmlns:a="http://schemas.openxmlformats.org/drawingml/2006/main">
                  <a:graphicData uri="http://schemas.microsoft.com/office/word/2010/wordprocessingShape">
                    <wps:wsp>
                      <wps:cNvSpPr/>
                      <wps:spPr>
                        <a:xfrm>
                          <a:off x="2155825" y="8976995"/>
                          <a:ext cx="3541395" cy="536575"/>
                        </a:xfrm>
                        <a:prstGeom prst="rect">
                          <a:avLst/>
                        </a:prstGeom>
                        <a:solidFill>
                          <a:srgbClr val="FFFFFF"/>
                        </a:solidFill>
                        <a:ln w="12700" cap="flat" cmpd="sng" algn="ctr">
                          <a:noFill/>
                          <a:prstDash val="solid"/>
                          <a:miter lim="800000"/>
                        </a:ln>
                        <a:effectLst/>
                      </wps:spPr>
                      <wps:txbx>
                        <w:txbxContent>
                          <w:p>
                            <w:pPr>
                              <w:jc w:val="center"/>
                              <w:rPr>
                                <w:rFonts w:hint="eastAsia" w:ascii="宋体" w:hAnsi="宋体" w:eastAsia="宋体" w:cs="宋体"/>
                                <w:b/>
                                <w:bCs/>
                                <w:sz w:val="28"/>
                                <w:szCs w:val="28"/>
                              </w:rPr>
                            </w:pPr>
                            <w:r>
                              <w:rPr>
                                <w:rFonts w:hint="eastAsia" w:ascii="宋体" w:hAnsi="宋体" w:eastAsia="宋体" w:cs="宋体"/>
                                <w:b/>
                                <w:bCs/>
                                <w:spacing w:val="-5"/>
                                <w:w w:val="95"/>
                                <w:sz w:val="28"/>
                                <w:szCs w:val="28"/>
                              </w:rPr>
                              <w:t xml:space="preserve">图 </w:t>
                            </w:r>
                            <w:r>
                              <w:rPr>
                                <w:rFonts w:hint="eastAsia" w:ascii="宋体" w:hAnsi="宋体" w:cs="宋体"/>
                                <w:b/>
                                <w:bCs/>
                                <w:spacing w:val="-3"/>
                                <w:sz w:val="28"/>
                                <w:szCs w:val="28"/>
                                <w:lang w:val="en-US" w:eastAsia="zh-CN"/>
                              </w:rPr>
                              <w:t>4</w:t>
                            </w:r>
                            <w:r>
                              <w:rPr>
                                <w:rFonts w:hint="eastAsia" w:ascii="宋体" w:hAnsi="宋体" w:eastAsia="宋体" w:cs="宋体"/>
                                <w:b/>
                                <w:bCs/>
                                <w:spacing w:val="-3"/>
                                <w:sz w:val="28"/>
                                <w:szCs w:val="28"/>
                              </w:rPr>
                              <w:t>-1</w:t>
                            </w:r>
                            <w:r>
                              <w:rPr>
                                <w:rFonts w:hint="eastAsia" w:ascii="宋体" w:hAnsi="宋体" w:eastAsia="宋体" w:cs="宋体"/>
                                <w:b/>
                                <w:bCs/>
                                <w:spacing w:val="-5"/>
                                <w:w w:val="95"/>
                                <w:sz w:val="28"/>
                                <w:szCs w:val="28"/>
                              </w:rPr>
                              <w:t>应急响应流程图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0.45pt;margin-top:4.2pt;height:42.25pt;width:278.85pt;z-index:251659264;v-text-anchor:middle;mso-width-relative:page;mso-height-relative:page;" fillcolor="#FFFFFF" filled="t" stroked="f" coordsize="21600,21600" o:gfxdata="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AUytIjYAAAACAEAAA8AAAAA&#10;AAAAAQAgAAAAIgAAAGRycy9kb3ducmV2LnhtbFBLAQIUABQAAAAIAIdO4kB5kv3PhgIAAPAEAAAO&#10;AAAAAAAAAAEAIAAAACcBAABkcnMvZTJvRG9jLnhtbFBLBQYAAAAABgAGAFkBAAAfBgAAAAA=&#10;">
                <v:fill on="t" focussize="0,0"/>
                <v:stroke on="f" weight="1pt" miterlimit="8" joinstyle="miter"/>
                <v:imagedata o:title=""/>
                <o:lock v:ext="edit" aspectratio="f"/>
                <v:textbox>
                  <w:txbxContent>
                    <w:p>
                      <w:pPr>
                        <w:jc w:val="center"/>
                        <w:rPr>
                          <w:rFonts w:hint="eastAsia" w:ascii="宋体" w:hAnsi="宋体" w:eastAsia="宋体" w:cs="宋体"/>
                          <w:b/>
                          <w:bCs/>
                          <w:sz w:val="28"/>
                          <w:szCs w:val="28"/>
                        </w:rPr>
                      </w:pPr>
                      <w:r>
                        <w:rPr>
                          <w:rFonts w:hint="eastAsia" w:ascii="宋体" w:hAnsi="宋体" w:eastAsia="宋体" w:cs="宋体"/>
                          <w:b/>
                          <w:bCs/>
                          <w:spacing w:val="-5"/>
                          <w:w w:val="95"/>
                          <w:sz w:val="28"/>
                          <w:szCs w:val="28"/>
                        </w:rPr>
                        <w:t xml:space="preserve">图 </w:t>
                      </w:r>
                      <w:r>
                        <w:rPr>
                          <w:rFonts w:hint="eastAsia" w:ascii="宋体" w:hAnsi="宋体" w:cs="宋体"/>
                          <w:b/>
                          <w:bCs/>
                          <w:spacing w:val="-3"/>
                          <w:sz w:val="28"/>
                          <w:szCs w:val="28"/>
                          <w:lang w:val="en-US" w:eastAsia="zh-CN"/>
                        </w:rPr>
                        <w:t>4</w:t>
                      </w:r>
                      <w:r>
                        <w:rPr>
                          <w:rFonts w:hint="eastAsia" w:ascii="宋体" w:hAnsi="宋体" w:eastAsia="宋体" w:cs="宋体"/>
                          <w:b/>
                          <w:bCs/>
                          <w:spacing w:val="-3"/>
                          <w:sz w:val="28"/>
                          <w:szCs w:val="28"/>
                        </w:rPr>
                        <w:t>-1</w:t>
                      </w:r>
                      <w:r>
                        <w:rPr>
                          <w:rFonts w:hint="eastAsia" w:ascii="宋体" w:hAnsi="宋体" w:eastAsia="宋体" w:cs="宋体"/>
                          <w:b/>
                          <w:bCs/>
                          <w:spacing w:val="-5"/>
                          <w:w w:val="95"/>
                          <w:sz w:val="28"/>
                          <w:szCs w:val="28"/>
                        </w:rPr>
                        <w:t>应急响应流程图</w:t>
                      </w:r>
                    </w:p>
                  </w:txbxContent>
                </v:textbox>
              </v:rect>
            </w:pict>
          </mc:Fallback>
        </mc:AlternateConten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en-US" w:eastAsia="zh-CN"/>
        </w:rPr>
      </w:pP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51" w:name="_Toc30335"/>
      <w:r>
        <w:rPr>
          <w:rFonts w:hint="eastAsia" w:asciiTheme="minorEastAsia" w:hAnsiTheme="minorEastAsia" w:eastAsiaTheme="minorEastAsia" w:cstheme="minorEastAsia"/>
          <w:b/>
          <w:bCs/>
          <w:color w:val="auto"/>
          <w:sz w:val="28"/>
          <w:szCs w:val="28"/>
          <w:lang w:val="en-US" w:eastAsia="zh-CN"/>
        </w:rPr>
        <w:t>4.1预警</w:t>
      </w:r>
      <w:bookmarkEnd w:id="51"/>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4.1.1预警分级</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根据开州区白水村黄金河饮用水水源地实际情况，水源地突发环境事件的预警级别由低到高分为橙色和红色两级。</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橙色预警：</w:t>
      </w:r>
      <w:r>
        <w:rPr>
          <w:rFonts w:hint="eastAsia" w:asciiTheme="minorEastAsia" w:hAnsiTheme="minorEastAsia" w:eastAsiaTheme="minorEastAsia" w:cstheme="minorEastAsia"/>
          <w:color w:val="auto"/>
          <w:sz w:val="28"/>
          <w:szCs w:val="28"/>
          <w:lang w:val="en-US" w:eastAsia="zh-CN"/>
        </w:rPr>
        <w:t>当污染物迁移至水源地应急预案适用范围，但水源地保护区或其上游连接水体尚未受到污染，或是污染物已进入水源保护区上游连接水体，应急指挥部办公室研判认为对水源地水质影响可能较小、可能不影响取水时，为橙色预警。</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红色预警：</w:t>
      </w:r>
      <w:r>
        <w:rPr>
          <w:rFonts w:hint="eastAsia" w:asciiTheme="minorEastAsia" w:hAnsiTheme="minorEastAsia" w:eastAsiaTheme="minorEastAsia" w:cstheme="minorEastAsia"/>
          <w:color w:val="auto"/>
          <w:sz w:val="28"/>
          <w:szCs w:val="28"/>
          <w:lang w:val="en-US" w:eastAsia="zh-CN"/>
        </w:rPr>
        <w:t>当污染物已进入（或出现在）水源地保护区或其上游连接水体，且应急专家研判认为对水源地水质影响可能较大时、可能影响取水时，为红色预警。</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4.1.2预警条件</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4.1.2.1橙色预警启动条件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1）接到区生态环境局指令或信息通报后，虽污染物未迁移至水源地应急预案适用范围，但污染物已进入水源保护区上游连接水体，经研判认为对水源地水质可能造成污染，不影响取水；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2）在白水村黄金河辖区内，通过信息报告发现，污染物已扩散至距水源保护区上游连接水体的直线距离不足 1km 的陆域或水域；</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3）在白水村黄金河辖区内，污染物已进入水源保护区上游连接水体，经研判认为对水源地水质影响可能较小、可能不影响取水。</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4.1.2.2红色预警启动条件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1）接到区生态环境局指令或信息通报后，虽污染物未迁移至水源地应急预案适用的地域范围内，但污染物已进入水源保护区上游连接水体，研判认为对饮用水水源地水质有影响，可能影响取水；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2）通过信息报告发现，在水源地二级保护区内发生突发环境事件；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3）通过信息报告发现，或污染物已扩散至距水源保护区上游连接水体的直线距离不足 100 米的陆域或水域；</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4）通过信息报告发现，或污染物已扩散至距水源保护区上游连接水体的直线距离不足 200 米的陆域或水域，经水质监测和信息研判，判断污染物迁移至取水口位置时，相应指标浓度仍会超标的；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5）通过监测发现，水源保护区或其上游连接水体理化指标异常；</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6）通过监测发现，水源保护区或其上游连接水体感官性状异常，即水体出现异常颜色或气味的；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7）通过监测发现，水源保护区或其上游连接水体水面出现大面积生物死亡的，即水面出现大面积死鱼或生物综合毒性异 常并经实验室监测后确认的。</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4.1.3</w:t>
      </w:r>
      <w:r>
        <w:rPr>
          <w:rFonts w:hint="eastAsia" w:asciiTheme="minorEastAsia" w:hAnsiTheme="minorEastAsia" w:eastAsiaTheme="minorEastAsia" w:cstheme="minorEastAsia"/>
          <w:b/>
          <w:bCs/>
          <w:color w:val="auto"/>
          <w:sz w:val="28"/>
          <w:szCs w:val="28"/>
        </w:rPr>
        <w:t>发布预警和预警级别调整</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4.1.3.1</w:t>
      </w:r>
      <w:r>
        <w:rPr>
          <w:rFonts w:hint="eastAsia" w:asciiTheme="minorEastAsia" w:hAnsiTheme="minorEastAsia" w:eastAsiaTheme="minorEastAsia" w:cstheme="minorEastAsia"/>
          <w:b/>
          <w:bCs/>
          <w:color w:val="auto"/>
          <w:sz w:val="28"/>
          <w:szCs w:val="28"/>
        </w:rPr>
        <w:t>预警发布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橙色预警</w:t>
      </w:r>
      <w:r>
        <w:rPr>
          <w:rFonts w:hint="eastAsia" w:asciiTheme="minorEastAsia" w:hAnsiTheme="minorEastAsia" w:eastAsiaTheme="minorEastAsia" w:cstheme="minorEastAsia"/>
          <w:color w:val="auto"/>
          <w:sz w:val="28"/>
          <w:szCs w:val="28"/>
          <w:lang w:val="en-US" w:eastAsia="zh-CN"/>
        </w:rPr>
        <w:t>和</w:t>
      </w:r>
      <w:r>
        <w:rPr>
          <w:rFonts w:hint="eastAsia" w:asciiTheme="minorEastAsia" w:hAnsiTheme="minorEastAsia" w:eastAsiaTheme="minorEastAsia" w:cstheme="minorEastAsia"/>
          <w:b/>
          <w:bCs/>
          <w:color w:val="auto"/>
          <w:sz w:val="28"/>
          <w:szCs w:val="28"/>
          <w:lang w:val="en-US" w:eastAsia="zh-CN"/>
        </w:rPr>
        <w:t>红色预警</w:t>
      </w:r>
      <w:r>
        <w:rPr>
          <w:rFonts w:hint="eastAsia" w:asciiTheme="minorEastAsia" w:hAnsiTheme="minorEastAsia" w:eastAsiaTheme="minorEastAsia" w:cstheme="minorEastAsia"/>
          <w:color w:val="auto"/>
          <w:sz w:val="28"/>
          <w:szCs w:val="28"/>
          <w:lang w:val="en-US" w:eastAsia="zh-CN"/>
        </w:rPr>
        <w:t>由镇政府及其指定部门发布或上级人民政府及其指定部门发布。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预警发布内容应包括，但不限于以下内容：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1）类别、预警级别</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2）事件起止时间、可能影响的范围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3）应采取的措施和发布机关</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4）警示事项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根据不同的突发水环境事件类型，应急指挥部办公室对现场应急指挥部的成员单位，发布预警信息。</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4.1.3.2</w:t>
      </w:r>
      <w:r>
        <w:rPr>
          <w:rFonts w:hint="eastAsia" w:asciiTheme="minorEastAsia" w:hAnsiTheme="minorEastAsia" w:eastAsiaTheme="minorEastAsia" w:cstheme="minorEastAsia"/>
          <w:b/>
          <w:bCs/>
          <w:color w:val="auto"/>
          <w:sz w:val="28"/>
          <w:szCs w:val="28"/>
        </w:rPr>
        <w:t>预警级别调整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应急指挥部办公室根据事态的发展和采取措施的效果，进一步研判，如需调整级别，应按照有关规定，上报镇政府，由镇政府调整预级别并再次发布预警信息。同时向上级人民政府或指定部门报告，必要时可越级上报。</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4.1.4</w:t>
      </w:r>
      <w:r>
        <w:rPr>
          <w:rFonts w:hint="eastAsia" w:asciiTheme="minorEastAsia" w:hAnsiTheme="minorEastAsia" w:eastAsiaTheme="minorEastAsia" w:cstheme="minorEastAsia"/>
          <w:b/>
          <w:bCs/>
          <w:color w:val="auto"/>
          <w:sz w:val="28"/>
          <w:szCs w:val="28"/>
        </w:rPr>
        <w:t>预警行动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发布橙色预警时，现场应急指挥部总指挥组织开展预警行动，预警行动包含但不限于以下内容：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1）通知相关部门或水厂，告知突发环境事件信息，接收通知的单位应启动本单位相关应急预案。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2）指令应急监测组联系监测机构立即开展监测、检测、随时掌握并报告事态的发展进度；</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3）应急准备。按照职责，相应成员单位进入待命状态，必要时到达现场开展相关工作。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4）舆论引导。及时准确发布事态最新情况，公布咨询电话，组织专家解读。加强相关舆情监测，做好舆论引导工作。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发布红色预警时，应急指挥部总指挥组织开展应急响应工作，预警行动包含但不限于以下内容：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1）下达启动饮用水水源地应急预案的命令；</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2）通知现场应急指挥部中的有关单位和人员做好应急准备，进入待命状态，必要时到达现场开展相关工作；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3）通知饮用水水源地供水单位进入待命状态，做好停止取水、深度处理、低压供水或启动备用水源等准备；</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4）加强信息监控，核实突发环境事件污染来源、进入水体的污染物种类和总量、污染扩散范围等信息；</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5）指令应急监测组联系监测机构立即开展监测、检测、随时掌握并报告事态的发展进度；</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6）做好事件信息上报和通报；</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7）调集所需应急物资和设备，做好应急保障；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8）在危险区域设置提示或警告标志；</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9）必要时，及时通过媒体向公众发布信息；</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10）加强舆情监测、引导和应对工作。</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4.1.5</w:t>
      </w:r>
      <w:r>
        <w:rPr>
          <w:rFonts w:hint="eastAsia" w:asciiTheme="minorEastAsia" w:hAnsiTheme="minorEastAsia" w:eastAsiaTheme="minorEastAsia" w:cstheme="minorEastAsia"/>
          <w:b/>
          <w:bCs/>
          <w:color w:val="auto"/>
          <w:sz w:val="28"/>
          <w:szCs w:val="28"/>
        </w:rPr>
        <w:t>预警解除</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当引起预警的条件消除和各类隐患排除后，辖区内饮用水水源地水质及供水不会受到影响时，由发布预警的单位下达预警解除指令，终止已经采取的有关行动和措施。</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52" w:name="_Toc7047"/>
      <w:r>
        <w:rPr>
          <w:rFonts w:hint="eastAsia" w:asciiTheme="minorEastAsia" w:hAnsiTheme="minorEastAsia" w:eastAsiaTheme="minorEastAsia" w:cstheme="minorEastAsia"/>
          <w:b/>
          <w:bCs/>
          <w:color w:val="auto"/>
          <w:sz w:val="28"/>
          <w:szCs w:val="28"/>
          <w:lang w:val="en-US" w:eastAsia="zh-CN"/>
        </w:rPr>
        <w:t>4.2</w:t>
      </w:r>
      <w:r>
        <w:rPr>
          <w:rFonts w:hint="eastAsia" w:asciiTheme="minorEastAsia" w:hAnsiTheme="minorEastAsia" w:eastAsiaTheme="minorEastAsia" w:cstheme="minorEastAsia"/>
          <w:b/>
          <w:bCs/>
          <w:color w:val="auto"/>
          <w:sz w:val="28"/>
          <w:szCs w:val="28"/>
          <w:lang w:val="zh-CN"/>
        </w:rPr>
        <w:t>信息报告与通报</w:t>
      </w:r>
      <w:bookmarkEnd w:id="52"/>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4.2.1</w:t>
      </w:r>
      <w:r>
        <w:rPr>
          <w:rFonts w:hint="eastAsia" w:asciiTheme="minorEastAsia" w:hAnsiTheme="minorEastAsia" w:eastAsiaTheme="minorEastAsia" w:cstheme="minorEastAsia"/>
          <w:b/>
          <w:bCs/>
          <w:color w:val="auto"/>
          <w:sz w:val="28"/>
          <w:szCs w:val="28"/>
        </w:rPr>
        <w:t>信息报告与通报原则及对象</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内部报告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一旦发生饮用水水源地突发环境事件，现场工作人员或事件最早发现者应立即采取相应的处置措施，并拨打镇政府应急值班电话，向应急值班人员报告事件情况，应急值班人员立即报告应急办公室，应急办公室上报应急领导小组组长。</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default"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中和镇应急值班电话：023-52740000</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外部报告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领导小组组长经分析饮用水水源地突发环境事件的严重程度，应通知水厂停止取水并监测水厂现存饮用水水质及现存水数量。并向区生态环境局、区政府报告。如水厂监测现存饮用水水质已受到污染，应向区城市管理局报告，寻求帮助协助断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开州区人民政府：023-52116111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开州区生态环境局：023-52255600</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开州区城市管理局：023-52688003</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自来水有限公司：13896348938</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4.2.2</w:t>
      </w:r>
      <w:r>
        <w:rPr>
          <w:rFonts w:hint="eastAsia" w:asciiTheme="minorEastAsia" w:hAnsiTheme="minorEastAsia" w:eastAsiaTheme="minorEastAsia" w:cstheme="minorEastAsia"/>
          <w:b/>
          <w:bCs/>
          <w:color w:val="auto"/>
          <w:sz w:val="28"/>
          <w:szCs w:val="28"/>
        </w:rPr>
        <w:t>信息报告与通报内容程序及内容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1）初报</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（1）初报程序</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对水源地保护区造成或者可能造成影响的，按突发环境事件的报告程序进行上报，现场应急指挥部应在到达现场后1小时内向区政府报告。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（2）初报内容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初报应报告水源地突发环境事件的发生时间、地点、信息来源、事件起因和性质、基本过程、污染物和数量、监测结果、人员伤亡情况、水源地受影响情况、事件发展趋势、处置情况、拟采取的措施以及下一步工作建议等初步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2）续报程序与内容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（1）续报程序</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现场应急指挥部对初报时要素不齐全或事件衍生出新情况， 处置工作有新进展的，要及时续报，根据情况每天不少于 1 次向区生态环境局、区政府书面报告。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（2）续报内容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续报应当在初报的基础上报告突发环境事件有关的监测数据、发生原因、过程、进展情况、趋势分析、危害程度以及采取的措施、效果等情况，附应急监测快报和监测点位分布图等。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3）处理结果报告程序与内容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（1）处理结果报告程序</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突发环境事件处理完毕后15天内，应急指挥部办公室应编制突发水环境事件处理结果报告。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（2）处理结果报告内容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处理结果报告应在初报、续报的基础上，报告突发环境事件的处置措施、过程和结果等详细情况。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53" w:name="_Toc23011"/>
      <w:r>
        <w:rPr>
          <w:rFonts w:hint="eastAsia" w:asciiTheme="minorEastAsia" w:hAnsiTheme="minorEastAsia" w:eastAsiaTheme="minorEastAsia" w:cstheme="minorEastAsia"/>
          <w:b/>
          <w:bCs/>
          <w:color w:val="auto"/>
          <w:sz w:val="28"/>
          <w:szCs w:val="28"/>
          <w:lang w:val="en-US" w:eastAsia="zh-CN"/>
        </w:rPr>
        <w:t>4.3</w:t>
      </w:r>
      <w:r>
        <w:rPr>
          <w:rFonts w:hint="eastAsia" w:asciiTheme="minorEastAsia" w:hAnsiTheme="minorEastAsia" w:eastAsiaTheme="minorEastAsia" w:cstheme="minorEastAsia"/>
          <w:b/>
          <w:bCs/>
          <w:color w:val="auto"/>
          <w:sz w:val="28"/>
          <w:szCs w:val="28"/>
          <w:lang w:val="zh-CN"/>
        </w:rPr>
        <w:t>事态跟踪研判</w:t>
      </w:r>
      <w:bookmarkEnd w:id="53"/>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由现场应急指挥部组织开展事态跟踪研判。</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事态跟踪研判包括但不限于以下内容：事故点下游沿河水利设施工程情况、判断污染物进入河流的数量及种类性质、事故点下游水系分布（包括清洁水情况）、距离水源地取水口的距离和可能对水源地造成的危害，以及备用水源地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根据事态跟踪研判的结果，制定和动态调整应急响应有关方案、实施应急监测、污染源排查与处置和应急处置方法。</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54" w:name="_Toc22183"/>
      <w:r>
        <w:rPr>
          <w:rFonts w:hint="eastAsia" w:asciiTheme="minorEastAsia" w:hAnsiTheme="minorEastAsia" w:eastAsiaTheme="minorEastAsia" w:cstheme="minorEastAsia"/>
          <w:b/>
          <w:bCs/>
          <w:color w:val="auto"/>
          <w:sz w:val="28"/>
          <w:szCs w:val="28"/>
          <w:lang w:val="en-US" w:eastAsia="zh-CN"/>
        </w:rPr>
        <w:t>4.4</w:t>
      </w:r>
      <w:r>
        <w:rPr>
          <w:rFonts w:hint="eastAsia" w:asciiTheme="minorEastAsia" w:hAnsiTheme="minorEastAsia" w:eastAsiaTheme="minorEastAsia" w:cstheme="minorEastAsia"/>
          <w:b/>
          <w:bCs/>
          <w:color w:val="auto"/>
          <w:sz w:val="28"/>
          <w:szCs w:val="28"/>
          <w:lang w:val="zh-CN"/>
        </w:rPr>
        <w:t>应急监测</w:t>
      </w:r>
      <w:bookmarkEnd w:id="54"/>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4.4.1</w:t>
      </w:r>
      <w:r>
        <w:rPr>
          <w:rFonts w:hint="eastAsia" w:asciiTheme="minorEastAsia" w:hAnsiTheme="minorEastAsia" w:eastAsiaTheme="minorEastAsia" w:cstheme="minorEastAsia"/>
          <w:b/>
          <w:bCs/>
          <w:color w:val="auto"/>
          <w:sz w:val="28"/>
          <w:szCs w:val="28"/>
        </w:rPr>
        <w:t>开展应急监测程序</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事件处置初期，应急检测机构应根据现场实际情况制定监测方案、设置监测点位（断面）、确定监测频次、组织开展监测、形成监测报告，第一时间向现场应急指挥部报告监测结果和污染浓度变化态势图，并安排人员对突发环境事件监测情况进行全过程记录。</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事件处置中期，应根据事态发展，如上游来水量、应急处置 措施效果等情况，适时调整监测点位（断面）和监测频次。</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事件处置末期，应按照现场应急指挥部命令，开展跟踪监测，并向现场应急指挥部提交应急监测总结报告。</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4.4.2</w:t>
      </w:r>
      <w:r>
        <w:rPr>
          <w:rFonts w:hint="eastAsia" w:asciiTheme="minorEastAsia" w:hAnsiTheme="minorEastAsia" w:eastAsiaTheme="minorEastAsia" w:cstheme="minorEastAsia"/>
          <w:b/>
          <w:bCs/>
          <w:color w:val="auto"/>
          <w:sz w:val="28"/>
          <w:szCs w:val="28"/>
        </w:rPr>
        <w:t>制定应急监测方案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应急监测组根据突发事件性质，征询应急专家组意见，编制应急监测方案。内容应包括：依据的技术规范、实施人员、布点 原则、采样频次和注意事项、监测结果记录和报告方式等。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监测重点是抓住污染带前峰、峰值位置和浓度变化，对污染带移动过程形成动态监控。当污染来源不明时，应先通过应急监测确定特征污染物成份，再进行污染源排查和先期处置。监测范围、布点、频次及监测因子按如下原则进行布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1）监测范围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应该涵盖水源地突发环境事件的污染范围，并包括事件可能影响区域和污染物本底浓度的监测区域。</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2）监测布点和频次</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以突发环境事件发生地点为中心或源头，结合水文和气象条件，在其扩散方向及可能受到影响的水源地位置合理布点，必要时在事故影响区域内水源取水口、农灌区取水口处设置监测点位（断面）。应采取不同点位（断面）相同间隔时间（一般为 1 小时）同步采样监测方式，动态监控污染带移动过程。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（1）针对固定源突发环境事件，应对固定源排放口附近水域、下游水源地附近水域进行加密跟踪监测。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（2）针对流动源、非点源突发环境事件，应对事发区域下游水域、下游水源地附近进行加密跟踪监测。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（3）水华灾害突发事件若发生在二级保护区范围，应对取水口不同水层进行加密跟踪监测。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3）现场采样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应制定采样计划和准备采样器材。采样量应同时满足快速监测、实验室监测和留样的需要。采样频次应考虑污染程度和现场 水文条件，按照应急专家组的意见确定。</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4）监测项目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监测因子建议包括：pH 值、化学需氧量、氨氮、总磷、总氮等。可根据突发环境事件特征，删减或补充相关监测因子。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55" w:name="_Toc14401"/>
      <w:r>
        <w:rPr>
          <w:rFonts w:hint="eastAsia" w:asciiTheme="minorEastAsia" w:hAnsiTheme="minorEastAsia" w:eastAsiaTheme="minorEastAsia" w:cstheme="minorEastAsia"/>
          <w:b/>
          <w:bCs/>
          <w:color w:val="auto"/>
          <w:sz w:val="28"/>
          <w:szCs w:val="28"/>
          <w:lang w:val="en-US" w:eastAsia="zh-CN"/>
        </w:rPr>
        <w:t>4.5污染</w:t>
      </w:r>
      <w:r>
        <w:rPr>
          <w:rFonts w:hint="eastAsia" w:asciiTheme="minorEastAsia" w:hAnsiTheme="minorEastAsia" w:eastAsiaTheme="minorEastAsia" w:cstheme="minorEastAsia"/>
          <w:b/>
          <w:bCs/>
          <w:color w:val="auto"/>
          <w:sz w:val="28"/>
          <w:szCs w:val="28"/>
          <w:lang w:val="zh-CN"/>
        </w:rPr>
        <w:t>源排查与处置</w:t>
      </w:r>
      <w:bookmarkEnd w:id="55"/>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4.5.1</w:t>
      </w:r>
      <w:r>
        <w:rPr>
          <w:rFonts w:hint="eastAsia" w:asciiTheme="minorEastAsia" w:hAnsiTheme="minorEastAsia" w:eastAsiaTheme="minorEastAsia" w:cstheme="minorEastAsia"/>
          <w:b/>
          <w:bCs/>
          <w:color w:val="auto"/>
          <w:sz w:val="28"/>
          <w:szCs w:val="28"/>
        </w:rPr>
        <w:t>排查对象</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当水质监测发现异常、污染物来源不确定时，可由应急监测组负责开展溯源分析。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应急监测组根据应急监测确定特征污染物成份，再结合特征污染物浓度变化、释放总量、释放路径、释放时间，以及当时的水文和气象条件，迅速组织开展事故源排查。</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针对不同类型污染物的排查重点和对象如下。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有机类、营养盐类污染：重点排查城镇生活污水处理厂等的异常情况。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营养盐类污染：重点排查城镇生活污水处理厂、畜禽养殖场（户）、农田种植户、农村居民点等，调查污水处理设施运行、养殖废物处理处置、农药化肥施用、农村生活污染的异常情况</w:t>
      </w:r>
      <w:r>
        <w:rPr>
          <w:rFonts w:hint="eastAsia" w:cs="宋体"/>
          <w:color w:val="auto"/>
          <w:sz w:val="28"/>
          <w:szCs w:val="28"/>
          <w:lang w:val="en-US"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细菌类污染：重点排查调查污水处理设施运行的异常情况。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农药类污染：重点排查农田种植户、农灌退水排放口，调查农药施用和</w:t>
      </w:r>
      <w:r>
        <w:rPr>
          <w:rFonts w:hint="eastAsia" w:cs="宋体"/>
          <w:color w:val="auto"/>
          <w:sz w:val="28"/>
          <w:szCs w:val="28"/>
          <w:lang w:val="en-US" w:eastAsia="zh-CN"/>
        </w:rPr>
        <w:t>水土</w:t>
      </w:r>
      <w:r>
        <w:rPr>
          <w:rFonts w:hint="eastAsia" w:ascii="宋体" w:hAnsi="宋体" w:eastAsia="宋体" w:cs="宋体"/>
          <w:color w:val="auto"/>
          <w:sz w:val="28"/>
          <w:szCs w:val="28"/>
          <w:lang w:val="en-US" w:eastAsia="zh-CN"/>
        </w:rPr>
        <w:t>流失的异常情况。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石油类污染：重点排查加油站、运输车辆</w:t>
      </w:r>
      <w:r>
        <w:rPr>
          <w:rFonts w:hint="eastAsia" w:cs="宋体"/>
          <w:color w:val="auto"/>
          <w:sz w:val="28"/>
          <w:szCs w:val="28"/>
          <w:lang w:val="en-US"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6</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油气管线，调查</w:t>
      </w:r>
      <w:r>
        <w:rPr>
          <w:rFonts w:hint="eastAsia" w:cs="宋体"/>
          <w:color w:val="auto"/>
          <w:sz w:val="28"/>
          <w:szCs w:val="28"/>
          <w:lang w:val="en-US" w:eastAsia="zh-CN"/>
        </w:rPr>
        <w:t>油气管线</w:t>
      </w:r>
      <w:r>
        <w:rPr>
          <w:rFonts w:hint="eastAsia" w:ascii="宋体" w:hAnsi="宋体" w:eastAsia="宋体" w:cs="宋体"/>
          <w:color w:val="auto"/>
          <w:sz w:val="28"/>
          <w:szCs w:val="28"/>
          <w:lang w:val="en-US" w:eastAsia="zh-CN"/>
        </w:rPr>
        <w:t>的异常情况。</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4.5.2</w:t>
      </w:r>
      <w:r>
        <w:rPr>
          <w:rFonts w:hint="eastAsia" w:asciiTheme="minorEastAsia" w:hAnsiTheme="minorEastAsia" w:eastAsiaTheme="minorEastAsia" w:cstheme="minorEastAsia"/>
          <w:b/>
          <w:bCs/>
          <w:color w:val="auto"/>
          <w:sz w:val="28"/>
          <w:szCs w:val="28"/>
        </w:rPr>
        <w:t>切断污染源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涉事企事业单位或其他生产经营者应第一时间启动相关应急预案，切断固定的、流动的或非点源的污染源或泄漏源，若涉 事企事业单位或其他生产经营者无法有效控制污染源，应将污染源信息上报应急处置组，由应急处置组组织实施事故源切断或控制。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处置措施采取切断污染源、收集和围堵污染物等，包括但不限于以下内容。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对发生非正常排放或有毒有害物质泄漏的固定源突发环境事件，应尽快采取关闭、封堵、收集、转移等措施，切断污染源或泄漏源。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对道路交通运输过程中发生的流动源突发事件，可启动路面系统的导流槽、应急池或紧急设置围堰、闸坝等，对污染源进行围堵并收集污染物。</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cs="宋体"/>
          <w:color w:val="auto"/>
          <w:sz w:val="28"/>
          <w:szCs w:val="28"/>
          <w:lang w:val="en-US" w:eastAsia="zh-CN"/>
        </w:rPr>
        <w:t>3)</w:t>
      </w:r>
      <w:r>
        <w:rPr>
          <w:rFonts w:hint="eastAsia" w:ascii="宋体" w:hAnsi="宋体" w:eastAsia="宋体" w:cs="宋体"/>
          <w:color w:val="auto"/>
          <w:sz w:val="28"/>
          <w:szCs w:val="28"/>
          <w:lang w:val="en-US" w:eastAsia="zh-CN"/>
        </w:rPr>
        <w:t>启动应急收集系统集中收集陆域污染物，设立拦截设施，防止污染物在陆域漫延，组织有关部门对污染物进行回收处置。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cs="宋体"/>
          <w:color w:val="auto"/>
          <w:sz w:val="28"/>
          <w:szCs w:val="28"/>
          <w:lang w:val="en-US" w:eastAsia="zh-CN"/>
        </w:rPr>
        <w:t>4)</w:t>
      </w:r>
      <w:r>
        <w:rPr>
          <w:rFonts w:hint="eastAsia" w:ascii="宋体" w:hAnsi="宋体" w:eastAsia="宋体" w:cs="宋体"/>
          <w:color w:val="auto"/>
          <w:sz w:val="28"/>
          <w:szCs w:val="28"/>
          <w:lang w:val="en-US" w:eastAsia="zh-CN"/>
        </w:rPr>
        <w:t>根据现场事态发展对扩散至水体的污染物进行处置。</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4.5.3水源突发环境污染事件应急处置措施</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w:t>
      </w:r>
      <w:r>
        <w:rPr>
          <w:rFonts w:hint="default" w:asciiTheme="minorEastAsia" w:hAnsiTheme="minorEastAsia" w:eastAsiaTheme="minorEastAsia" w:cstheme="minorEastAsia"/>
          <w:color w:val="auto"/>
          <w:sz w:val="28"/>
          <w:szCs w:val="28"/>
          <w:lang w:val="en-US" w:eastAsia="zh-CN"/>
        </w:rPr>
        <w:t>确认污染物危害及毒性:通过初步判断与监测分析,确认污染物及其危害与毒性,切断污染源,并对同类污染源进行限排、禁排。</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w:t>
      </w:r>
      <w:r>
        <w:rPr>
          <w:rFonts w:hint="default" w:asciiTheme="minorEastAsia" w:hAnsiTheme="minorEastAsia" w:eastAsiaTheme="minorEastAsia" w:cstheme="minorEastAsia"/>
          <w:color w:val="auto"/>
          <w:sz w:val="28"/>
          <w:szCs w:val="28"/>
          <w:lang w:val="en-US" w:eastAsia="zh-CN"/>
        </w:rPr>
        <w:t>确定饮用水源取水口基本情况:确认下游供水设施服务区及服务人口、涉及规模及日供水量、设施管理部门联系方式;取水口名称、地点及距离、地理位置(经纬度)等。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w:t>
      </w:r>
      <w:r>
        <w:rPr>
          <w:rFonts w:hint="default" w:asciiTheme="minorEastAsia" w:hAnsiTheme="minorEastAsia" w:eastAsiaTheme="minorEastAsia" w:cstheme="minorEastAsia"/>
          <w:color w:val="auto"/>
          <w:sz w:val="28"/>
          <w:szCs w:val="28"/>
          <w:lang w:val="en-US" w:eastAsia="zh-CN"/>
        </w:rPr>
        <w:t>确定地下水取水情况:确认地下水服务范围内灌溉面积、基本农田保护区情况。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w:t>
      </w:r>
      <w:r>
        <w:rPr>
          <w:rFonts w:hint="default" w:asciiTheme="minorEastAsia" w:hAnsiTheme="minorEastAsia" w:eastAsiaTheme="minorEastAsia" w:cstheme="minorEastAsia"/>
          <w:color w:val="auto"/>
          <w:sz w:val="28"/>
          <w:szCs w:val="28"/>
          <w:lang w:val="en-US" w:eastAsia="zh-CN"/>
        </w:rPr>
        <w:t>通知:立即通知下游可能受到突发水污染事件影响的对象, 特别是可能受到影响的取水口,以便及时采取防备措施。</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w:t>
      </w:r>
      <w:r>
        <w:rPr>
          <w:rFonts w:hint="default" w:asciiTheme="minorEastAsia" w:hAnsiTheme="minorEastAsia" w:eastAsiaTheme="minorEastAsia" w:cstheme="minorEastAsia"/>
          <w:color w:val="auto"/>
          <w:sz w:val="28"/>
          <w:szCs w:val="28"/>
          <w:lang w:val="en-US" w:eastAsia="zh-CN"/>
        </w:rPr>
        <w:t>监测与扩散规律分析:根据各断面污染物监测浓度值、水流速度、各段水体库容量、流域河道地形,上游输入、支流汇入水量,污染物降解速率等,计算水体中污染的总量及各断而通量,建立水质动态预报模型,预测预报出污染带前锋的到达事件、污染峰值及出现事件、可能超标天数等污染态势,以便采取各种应急措施。对污染物的分段阻隔,削减,逐渐稀释,同时,启动自来水厂应急工程或备用水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56" w:name="_Toc19828"/>
      <w:r>
        <w:rPr>
          <w:rFonts w:hint="eastAsia" w:asciiTheme="minorEastAsia" w:hAnsiTheme="minorEastAsia" w:eastAsiaTheme="minorEastAsia" w:cstheme="minorEastAsia"/>
          <w:b/>
          <w:bCs/>
          <w:color w:val="auto"/>
          <w:sz w:val="28"/>
          <w:szCs w:val="28"/>
          <w:lang w:val="en-US" w:eastAsia="zh-CN"/>
        </w:rPr>
        <w:t>4.6</w:t>
      </w:r>
      <w:r>
        <w:rPr>
          <w:rFonts w:hint="eastAsia" w:asciiTheme="minorEastAsia" w:hAnsiTheme="minorEastAsia" w:eastAsiaTheme="minorEastAsia" w:cstheme="minorEastAsia"/>
          <w:b/>
          <w:bCs/>
          <w:color w:val="auto"/>
          <w:sz w:val="28"/>
          <w:szCs w:val="28"/>
          <w:lang w:val="zh-CN"/>
        </w:rPr>
        <w:t>应急处置</w:t>
      </w:r>
      <w:bookmarkEnd w:id="56"/>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4.6.1</w:t>
      </w:r>
      <w:r>
        <w:rPr>
          <w:rFonts w:hint="eastAsia" w:asciiTheme="minorEastAsia" w:hAnsiTheme="minorEastAsia" w:eastAsiaTheme="minorEastAsia" w:cstheme="minorEastAsia"/>
          <w:b/>
          <w:bCs/>
          <w:color w:val="auto"/>
          <w:sz w:val="28"/>
          <w:szCs w:val="28"/>
        </w:rPr>
        <w:t>制定现场处置方案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现场处置方案包括但不限于以下内容：应急监测、污染处置措施、物资调集、应急队伍和人员安排、供水单位应对措施等。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根据污染特征，水源地突发环境事件的污染处置措施如下：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1)水华灾害突发事件。对二级水源保护区的水华发生区域，采取增氧机、藻类打捞等方式减少和控制藻类生长和 扩散；有条件的，可采用生态调水的方式，通过增加水体扰动控制水华灾害。</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水体内污染物治理、总量或浓度削减。根据专家技术组等意见，制定综合处置方案，经现场应急指挥部确认后实施。一般采取隔离、吸附、打捞、扰动等物理方法，氧化、沉淀等化学方法，利用湿地生物群消解等生物方法和上游调水等稀释方法， 可以采取一种或多种方式，力争短时间内削减污染物浓度。现场应急指挥部可根据需要，对水源地汇水区域内的污染物排放企业实施停产、减产、限产等措施，削减水域污染物总量或浓度。</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3)应急工程设施拦截污染水体。在河道内启用或修建拦截坝、节制闸等工程设施拦截污染水体；通过导流渠将未受污染 水体导流至污染水体下游，通过分流沟将污染水体分流至水源保 护区外进行收集处置；利用前置库、缓冲池等工程设施，降低污 染水体的污染物浓度，为应急处置争取时间。不能建设永久应急 工程的，应事先论证确定可建设应急工程的地址，并在预案中明确。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4)针对污染物可采取的物理、化学、生物处理技术如表 4-2 所示。</w:t>
      </w:r>
    </w:p>
    <w:p>
      <w:pPr>
        <w:jc w:val="center"/>
        <w:rPr>
          <w:rFonts w:hint="eastAsia" w:ascii="宋体" w:hAnsi="宋体" w:eastAsia="宋体" w:cs="宋体"/>
          <w:b/>
          <w:bCs w:val="0"/>
          <w:sz w:val="28"/>
          <w:szCs w:val="28"/>
        </w:rPr>
      </w:pPr>
      <w:r>
        <w:rPr>
          <w:rFonts w:hint="eastAsia" w:ascii="宋体" w:hAnsi="宋体" w:eastAsia="宋体" w:cs="宋体"/>
          <w:b/>
          <w:bCs w:val="0"/>
          <w:sz w:val="28"/>
          <w:szCs w:val="28"/>
        </w:rPr>
        <w:t xml:space="preserve">表 </w:t>
      </w:r>
      <w:r>
        <w:rPr>
          <w:rFonts w:hint="eastAsia" w:ascii="宋体" w:hAnsi="宋体" w:cs="宋体"/>
          <w:b/>
          <w:bCs w:val="0"/>
          <w:sz w:val="28"/>
          <w:szCs w:val="28"/>
          <w:lang w:val="en-US" w:eastAsia="zh-CN"/>
        </w:rPr>
        <w:t>4</w:t>
      </w:r>
      <w:r>
        <w:rPr>
          <w:rFonts w:hint="eastAsia" w:ascii="宋体" w:hAnsi="宋体" w:eastAsia="宋体" w:cs="宋体"/>
          <w:b/>
          <w:bCs w:val="0"/>
          <w:sz w:val="28"/>
          <w:szCs w:val="28"/>
        </w:rPr>
        <w:t>-2  适用于处理不同超标项目的推荐技术</w:t>
      </w:r>
    </w:p>
    <w:tbl>
      <w:tblPr>
        <w:tblStyle w:val="14"/>
        <w:tblW w:w="0" w:type="auto"/>
        <w:tblInd w:w="183"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093"/>
        <w:gridCol w:w="67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2093" w:type="dxa"/>
            <w:tcBorders>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超标项目</w:t>
            </w:r>
          </w:p>
        </w:tc>
        <w:tc>
          <w:tcPr>
            <w:tcW w:w="6709" w:type="dxa"/>
            <w:tcBorders>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推</w:t>
            </w:r>
            <w:r>
              <w:rPr>
                <w:rFonts w:hint="eastAsia" w:asciiTheme="minorEastAsia" w:hAnsiTheme="minorEastAsia" w:eastAsiaTheme="minorEastAsia" w:cstheme="minorEastAsia"/>
                <w:color w:val="auto"/>
                <w:sz w:val="21"/>
                <w:szCs w:val="21"/>
              </w:rPr>
              <w:tab/>
            </w:r>
            <w:r>
              <w:rPr>
                <w:rFonts w:hint="eastAsia" w:asciiTheme="minorEastAsia" w:hAnsiTheme="minorEastAsia" w:eastAsiaTheme="minorEastAsia" w:cstheme="minorEastAsia"/>
                <w:color w:val="auto"/>
                <w:sz w:val="21"/>
                <w:szCs w:val="21"/>
              </w:rPr>
              <w:t>荐 技</w:t>
            </w:r>
            <w:r>
              <w:rPr>
                <w:rFonts w:hint="eastAsia" w:asciiTheme="minorEastAsia" w:hAnsiTheme="minorEastAsia" w:eastAsiaTheme="minorEastAsia" w:cstheme="minorEastAsia"/>
                <w:color w:val="auto"/>
                <w:sz w:val="21"/>
                <w:szCs w:val="21"/>
              </w:rPr>
              <w:tab/>
            </w:r>
            <w:r>
              <w:rPr>
                <w:rFonts w:hint="eastAsia" w:asciiTheme="minorEastAsia" w:hAnsiTheme="minorEastAsia" w:eastAsiaTheme="minorEastAsia" w:cstheme="minorEastAsia"/>
                <w:color w:val="auto"/>
                <w:sz w:val="21"/>
                <w:szCs w:val="21"/>
              </w:rPr>
              <w:t>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浊度</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快速砂滤池、絮凝、沉淀、过滤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5"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色度</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快速砂滤池、絮凝；活性炭吸附；化学氧化预处理：臭氧、氯、高锰酸钾、二氧化氯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5"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嗅味</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化学氧化预处理：臭氧、氯、高锰酸钾、二氧化氯、活性炭</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5"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氟化物</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吸附法：氧化铝、磷酸二钙；混凝沉淀法：硫酸铝、聚合氯化铝；离子交换法；电渗析法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氨氮</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化学氧化预处理：氯、高锰酸钾；深度处理：臭氧-生物活性碳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6"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铁、锰</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锰砂；化学氧化预处理：氯、高锰酸钾；深度处理：臭氧-生物活性碳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挥发性有机物</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生物活性炭吸附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62"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三氯甲烷和腐殖酸</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前驱物的去除：强化混凝、粒状活性炭、生物活性炭；氯化副产物的去除： 粒状活性炭</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有机化合物</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生物活性碳、膜处理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细菌和病毒</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过滤（部分去除）；消毒处理：氯、二氧化氯、臭氧、膜处理、紫外消毒</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43" w:hRule="atLeast"/>
        </w:trPr>
        <w:tc>
          <w:tcPr>
            <w:tcW w:w="209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汞、铬等部分重金属</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（应急状态）</w:t>
            </w:r>
          </w:p>
        </w:tc>
        <w:tc>
          <w:tcPr>
            <w:tcW w:w="6709"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氧化法：高锰酸钾；生物活性碳吸附（部分去除）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71" w:hRule="atLeast"/>
        </w:trPr>
        <w:tc>
          <w:tcPr>
            <w:tcW w:w="2093" w:type="dxa"/>
            <w:tcBorders>
              <w:top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藻类及藻毒素</w:t>
            </w:r>
          </w:p>
        </w:tc>
        <w:tc>
          <w:tcPr>
            <w:tcW w:w="6709" w:type="dxa"/>
            <w:tcBorders>
              <w:top w:val="single" w:color="000000" w:sz="4" w:space="0"/>
              <w:lef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化学氧化预处理：除藻剂法、高锰酸钾、氯；微滤法；气浮法；臭氧氧化法</w:t>
            </w:r>
          </w:p>
        </w:tc>
      </w:tr>
    </w:tbl>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4.6.2</w:t>
      </w:r>
      <w:r>
        <w:rPr>
          <w:rFonts w:hint="eastAsia" w:asciiTheme="minorEastAsia" w:hAnsiTheme="minorEastAsia" w:eastAsiaTheme="minorEastAsia" w:cstheme="minorEastAsia"/>
          <w:b/>
          <w:bCs/>
          <w:color w:val="auto"/>
          <w:sz w:val="28"/>
          <w:szCs w:val="28"/>
        </w:rPr>
        <w:t>现场处置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现场应急指挥部应根据污染特征，结合专家意见，尽快制定现场处置方案，针对以下情景建议开展如下处置措施：</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1)现场应急指挥部组织应急专家组制订综合治污方案，采取拦截、导流、疏浚等形式防止水体污染扩大；采取隔离、吸 附、打捞、氧化还原、中和、去污洗消、临时收贮、转移异地处 置、临时改造污染处置工艺或临时建设污染处置工程等方法处置 污染物。必要时，要求其他排污单位停产、限产、限排，减轻环 境污染负荷。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2)采用监测和模拟等手段追踪污染物扩散途径和范围；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3)立即组织相关部门开展监测、调查工作，查明涉事单位，确定污染物种类和污染范围，随时掌握并报 告事态进展；</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4)指令应急救援队伍进入应急状态，对于陆地污染物， 采用强行止漏法、疏散法和窒息吸附法控制泄漏源，控制泄漏源后可采取围堤堵截或挖掘沟槽收容泄漏物，覆盖减少泄漏物蒸发，稀释，吸附、中和、固化泄漏物，并最终进行污染物收集，防止污染蔓延扩散；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5)加大饮用水水源地水质监测力度；</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6)水厂立即采取停止取水、减压供水、改路供水、加大投药量深度处理，启用备用水源，并加强事故泄漏污染物监测，分级启动应急供水预案。无备用水源地区，使用应急输供水车等设施保障居民用水。</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4.6.3</w:t>
      </w:r>
      <w:r>
        <w:rPr>
          <w:rFonts w:hint="eastAsia" w:asciiTheme="minorEastAsia" w:hAnsiTheme="minorEastAsia" w:eastAsiaTheme="minorEastAsia" w:cstheme="minorEastAsia"/>
          <w:b/>
          <w:bCs/>
          <w:color w:val="auto"/>
          <w:sz w:val="28"/>
          <w:szCs w:val="28"/>
        </w:rPr>
        <w:t>供水安全保障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rPr>
        <w:t>当</w:t>
      </w:r>
      <w:r>
        <w:rPr>
          <w:rFonts w:hint="eastAsia" w:asciiTheme="minorEastAsia" w:hAnsiTheme="minorEastAsia" w:eastAsiaTheme="minorEastAsia" w:cstheme="minorEastAsia"/>
          <w:color w:val="auto"/>
          <w:sz w:val="28"/>
          <w:szCs w:val="28"/>
          <w:lang w:val="en-US" w:eastAsia="zh-CN"/>
        </w:rPr>
        <w:t>出现水源地突发环境事件，水厂应根据污染物的种类、浓度、可能影响取水口的时间，及时采取深度处理、低压供水或启动备用水源等应急措施，并加强污染物监测，待水质满足取水要求时恢复取水和供水。无备用水源的，应使用应急供水车等设施保障居民用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57" w:name="_Toc23237"/>
      <w:r>
        <w:rPr>
          <w:rFonts w:hint="eastAsia" w:asciiTheme="minorEastAsia" w:hAnsiTheme="minorEastAsia" w:eastAsiaTheme="minorEastAsia" w:cstheme="minorEastAsia"/>
          <w:b/>
          <w:bCs/>
          <w:color w:val="auto"/>
          <w:sz w:val="28"/>
          <w:szCs w:val="28"/>
          <w:lang w:val="en-US" w:eastAsia="zh-CN"/>
        </w:rPr>
        <w:t>4.7</w:t>
      </w:r>
      <w:r>
        <w:rPr>
          <w:rFonts w:hint="eastAsia" w:asciiTheme="minorEastAsia" w:hAnsiTheme="minorEastAsia" w:eastAsiaTheme="minorEastAsia" w:cstheme="minorEastAsia"/>
          <w:b/>
          <w:bCs/>
          <w:color w:val="auto"/>
          <w:sz w:val="28"/>
          <w:szCs w:val="28"/>
          <w:lang w:val="zh-CN"/>
        </w:rPr>
        <w:t>物资调集及应急设施启用</w:t>
      </w:r>
      <w:bookmarkEnd w:id="57"/>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应急物资、装备由应急保障组进行统一调配。</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58" w:name="_Toc6981"/>
      <w:r>
        <w:rPr>
          <w:rFonts w:hint="eastAsia" w:asciiTheme="minorEastAsia" w:hAnsiTheme="minorEastAsia" w:eastAsiaTheme="minorEastAsia" w:cstheme="minorEastAsia"/>
          <w:b/>
          <w:bCs/>
          <w:color w:val="auto"/>
          <w:sz w:val="28"/>
          <w:szCs w:val="28"/>
          <w:lang w:val="en-US" w:eastAsia="zh-CN"/>
        </w:rPr>
        <w:t>4.8</w:t>
      </w:r>
      <w:r>
        <w:rPr>
          <w:rFonts w:hint="eastAsia" w:asciiTheme="minorEastAsia" w:hAnsiTheme="minorEastAsia" w:eastAsiaTheme="minorEastAsia" w:cstheme="minorEastAsia"/>
          <w:b/>
          <w:bCs/>
          <w:color w:val="auto"/>
          <w:sz w:val="28"/>
          <w:szCs w:val="28"/>
          <w:lang w:val="zh-CN"/>
        </w:rPr>
        <w:t>舆情监测与信息发布</w:t>
      </w:r>
      <w:bookmarkEnd w:id="58"/>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综合协调组负责及时按规定通过新闻媒体发布饮用水源突发污染事件处置的相关信息，监控、引导社会舆情。</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现场应急指挥部在突发环境事件发生后，应第一时间通过政府发布新闻通稿、举行新闻发布会等多种形式，借助电视、广播、 报纸、网络等多种途径，运用微博、微信、移动客户端等新媒体平台，主动、及时、准确、客观向社会发布突发环境事件有关信息，回应社会关切，澄清不实信息，正确引导社会舆论。</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发布内容包括事件原因、影响区域、已采取的措施及成效、 公众应注意的防范措施、热线电话等。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59" w:name="_Toc29405"/>
      <w:r>
        <w:rPr>
          <w:rFonts w:hint="eastAsia" w:asciiTheme="minorEastAsia" w:hAnsiTheme="minorEastAsia" w:eastAsiaTheme="minorEastAsia" w:cstheme="minorEastAsia"/>
          <w:b/>
          <w:bCs/>
          <w:color w:val="auto"/>
          <w:sz w:val="28"/>
          <w:szCs w:val="28"/>
          <w:lang w:val="en-US" w:eastAsia="zh-CN"/>
        </w:rPr>
        <w:t>4.9响应终</w:t>
      </w:r>
      <w:r>
        <w:rPr>
          <w:rFonts w:hint="eastAsia" w:asciiTheme="minorEastAsia" w:hAnsiTheme="minorEastAsia" w:eastAsiaTheme="minorEastAsia" w:cstheme="minorEastAsia"/>
          <w:b/>
          <w:bCs/>
          <w:color w:val="auto"/>
          <w:sz w:val="28"/>
          <w:szCs w:val="28"/>
          <w:lang w:val="zh-CN"/>
        </w:rPr>
        <w:t>止</w:t>
      </w:r>
      <w:bookmarkEnd w:id="59"/>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符合下列情形之一的，可终止应急响应。</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1)进入水源保护区陆域范围的污染物已成功围堵，且清运至水源保护区外，未向水域扩散时；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2)进入水源保护区水域范围的污染团已成功拦截或导流至水源保护区外，没有向取水口扩散的风险，且水质监测结果稳 定达标；</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3)水质监测结果尚未稳定达标，但根据专家建议可恢复正常取水时。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4)由应急指挥部总指挥发布响应终止，终止已经采取的有关行动和措施。</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color w:val="auto"/>
          <w:sz w:val="32"/>
          <w:szCs w:val="32"/>
        </w:rPr>
      </w:pPr>
      <w:bookmarkStart w:id="60" w:name="_Toc26998"/>
      <w:r>
        <w:rPr>
          <w:rFonts w:hint="eastAsia" w:asciiTheme="minorEastAsia" w:hAnsiTheme="minorEastAsia" w:eastAsiaTheme="minorEastAsia" w:cstheme="minorEastAsia"/>
          <w:b/>
          <w:bCs/>
          <w:color w:val="auto"/>
          <w:sz w:val="32"/>
          <w:szCs w:val="32"/>
          <w:lang w:val="en-US" w:eastAsia="zh-CN"/>
        </w:rPr>
        <w:t>5</w:t>
      </w:r>
      <w:r>
        <w:rPr>
          <w:rFonts w:hint="eastAsia" w:asciiTheme="minorEastAsia" w:hAnsiTheme="minorEastAsia" w:eastAsiaTheme="minorEastAsia" w:cstheme="minorEastAsia"/>
          <w:b/>
          <w:bCs/>
          <w:color w:val="auto"/>
          <w:sz w:val="32"/>
          <w:szCs w:val="32"/>
        </w:rPr>
        <w:t>后期工作</w:t>
      </w:r>
      <w:bookmarkEnd w:id="60"/>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61" w:name="_Toc29562"/>
      <w:r>
        <w:rPr>
          <w:rFonts w:hint="eastAsia" w:asciiTheme="minorEastAsia" w:hAnsiTheme="minorEastAsia" w:eastAsiaTheme="minorEastAsia" w:cstheme="minorEastAsia"/>
          <w:b/>
          <w:bCs/>
          <w:color w:val="auto"/>
          <w:sz w:val="28"/>
          <w:szCs w:val="28"/>
          <w:lang w:val="en-US" w:eastAsia="zh-CN"/>
        </w:rPr>
        <w:t>5.1</w:t>
      </w:r>
      <w:r>
        <w:rPr>
          <w:rFonts w:hint="eastAsia" w:asciiTheme="minorEastAsia" w:hAnsiTheme="minorEastAsia" w:eastAsiaTheme="minorEastAsia" w:cstheme="minorEastAsia"/>
          <w:b/>
          <w:bCs/>
          <w:color w:val="auto"/>
          <w:sz w:val="28"/>
          <w:szCs w:val="28"/>
          <w:lang w:val="zh-CN"/>
        </w:rPr>
        <w:t>后期防控</w:t>
      </w:r>
      <w:bookmarkEnd w:id="61"/>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响应终止后，现场处置组对造成水源地突发环境事件的环境风险物质或污染物进行妥善处置，保证环境风险物质或污染物不会造成二次污染，包括对泄漏的油品、化学品等有害物质进行回收；事故场地及漫延区域的污染物清除完成后，对土壤或水生态系统进行修复；部分污染物导流到水源地下游或其他区域，对区域的污染物进行清除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应急监测组负责组织后期污染监测；白水村黄金河政府组织后期污染治理；应急处置组进行消除投放药剂的残留毒性和后期效应，防止次生突发环境事件。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62" w:name="_Toc6709"/>
      <w:r>
        <w:rPr>
          <w:rFonts w:hint="eastAsia" w:asciiTheme="minorEastAsia" w:hAnsiTheme="minorEastAsia" w:eastAsiaTheme="minorEastAsia" w:cstheme="minorEastAsia"/>
          <w:b/>
          <w:bCs/>
          <w:color w:val="auto"/>
          <w:sz w:val="28"/>
          <w:szCs w:val="28"/>
          <w:lang w:val="en-US" w:eastAsia="zh-CN"/>
        </w:rPr>
        <w:t>5.2</w:t>
      </w:r>
      <w:r>
        <w:rPr>
          <w:rFonts w:hint="eastAsia" w:asciiTheme="minorEastAsia" w:hAnsiTheme="minorEastAsia" w:eastAsiaTheme="minorEastAsia" w:cstheme="minorEastAsia"/>
          <w:b/>
          <w:bCs/>
          <w:color w:val="auto"/>
          <w:sz w:val="28"/>
          <w:szCs w:val="28"/>
          <w:lang w:val="zh-CN"/>
        </w:rPr>
        <w:t>事件调查</w:t>
      </w:r>
      <w:bookmarkEnd w:id="62"/>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根据事件调查的有关规定，一般应由镇政府指定部门牵头，有关部门配合，组织开展事件调查，查明事件原因和性质，提出整改防范措施和处理建议。事发相关单位或企业应积极整改，并形成整改反馈报告。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较大或重大环境事件由区政府或区政府指定部门组织调查，镇政府有关部门配合。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63" w:name="_Toc27936"/>
      <w:r>
        <w:rPr>
          <w:rFonts w:hint="eastAsia" w:asciiTheme="minorEastAsia" w:hAnsiTheme="minorEastAsia" w:eastAsiaTheme="minorEastAsia" w:cstheme="minorEastAsia"/>
          <w:b/>
          <w:bCs/>
          <w:color w:val="auto"/>
          <w:sz w:val="28"/>
          <w:szCs w:val="28"/>
          <w:lang w:val="en-US" w:eastAsia="zh-CN"/>
        </w:rPr>
        <w:t>5.3损害评估</w:t>
      </w:r>
      <w:bookmarkEnd w:id="63"/>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根据有关规定，镇水利服务中心督促造成水源地突发环境事件及污染的个人或单位及时组织开展污染损害评估，并将经评审后的评估结果向社会公布。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若造成水源地突发环境事件及污染的个人或单位不明确，应由事发地镇乡人民政府组织开展污染损害评估，并将经评审后的评估结果向社会公布</w:t>
      </w:r>
      <w:r>
        <w:rPr>
          <w:rFonts w:hint="eastAsia" w:asciiTheme="minorEastAsia" w:hAnsiTheme="minorEastAsia" w:eastAsiaTheme="minorEastAsia" w:cstheme="minorEastAsia"/>
          <w:color w:val="auto"/>
          <w:sz w:val="28"/>
          <w:szCs w:val="28"/>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64" w:name="_Toc7865"/>
      <w:r>
        <w:rPr>
          <w:rFonts w:hint="eastAsia" w:asciiTheme="minorEastAsia" w:hAnsiTheme="minorEastAsia" w:eastAsiaTheme="minorEastAsia" w:cstheme="minorEastAsia"/>
          <w:b/>
          <w:bCs/>
          <w:color w:val="auto"/>
          <w:sz w:val="28"/>
          <w:szCs w:val="28"/>
          <w:lang w:val="en-US" w:eastAsia="zh-CN"/>
        </w:rPr>
        <w:t>5.4善后处置</w:t>
      </w:r>
      <w:bookmarkEnd w:id="64"/>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由事发地镇乡人民政府督促肇事单位按照政策规定，对事故伤亡人员给予赔付救治，对伤者及伤亡人员家属进行精神安抚；相关部门按照各自职责进行指导。按照国家规定组织制定补助、补偿、抚慰、抚恤、安置和环境恢复等善后工作方案，并按照法定程序实施。对紧急征用的物资和调集的社会力量按照有关规定予以结算和补偿。保险机构及时开展相关理赔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肇事单位必须对风险隐患进行整改，防止风险源再次引发水污染事件，对涉及的污染场地进行修复，满足相关要求，并对造成社会损害的进行依法赔偿。</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color w:val="auto"/>
          <w:sz w:val="32"/>
          <w:szCs w:val="32"/>
        </w:rPr>
      </w:pPr>
      <w:bookmarkStart w:id="65" w:name="_Toc19404"/>
      <w:r>
        <w:rPr>
          <w:rFonts w:hint="eastAsia" w:asciiTheme="minorEastAsia" w:hAnsiTheme="minorEastAsia" w:eastAsiaTheme="minorEastAsia" w:cstheme="minorEastAsia"/>
          <w:b/>
          <w:bCs/>
          <w:color w:val="auto"/>
          <w:sz w:val="32"/>
          <w:szCs w:val="32"/>
          <w:lang w:val="en-US" w:eastAsia="zh-CN"/>
        </w:rPr>
        <w:t>6</w:t>
      </w:r>
      <w:r>
        <w:rPr>
          <w:rFonts w:hint="eastAsia" w:asciiTheme="minorEastAsia" w:hAnsiTheme="minorEastAsia" w:eastAsiaTheme="minorEastAsia" w:cstheme="minorEastAsia"/>
          <w:b/>
          <w:bCs/>
          <w:color w:val="auto"/>
          <w:sz w:val="32"/>
          <w:szCs w:val="32"/>
        </w:rPr>
        <w:t>应急保障</w:t>
      </w:r>
      <w:bookmarkEnd w:id="65"/>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66" w:name="_Toc31787"/>
      <w:r>
        <w:rPr>
          <w:rFonts w:hint="eastAsia" w:asciiTheme="minorEastAsia" w:hAnsiTheme="minorEastAsia" w:eastAsiaTheme="minorEastAsia" w:cstheme="minorEastAsia"/>
          <w:b/>
          <w:bCs/>
          <w:color w:val="auto"/>
          <w:sz w:val="28"/>
          <w:szCs w:val="28"/>
          <w:lang w:val="en-US" w:eastAsia="zh-CN"/>
        </w:rPr>
        <w:t>6.1</w:t>
      </w:r>
      <w:r>
        <w:rPr>
          <w:rFonts w:hint="eastAsia" w:asciiTheme="minorEastAsia" w:hAnsiTheme="minorEastAsia" w:eastAsiaTheme="minorEastAsia" w:cstheme="minorEastAsia"/>
          <w:b/>
          <w:bCs/>
          <w:color w:val="auto"/>
          <w:sz w:val="28"/>
          <w:szCs w:val="28"/>
          <w:lang w:val="zh-CN"/>
        </w:rPr>
        <w:t>通讯与信息保障</w:t>
      </w:r>
      <w:bookmarkEnd w:id="66"/>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镇政府及其通信主管部门要建立健全突发环境事件应急通信保障体系，确保应急期间通信联络和信息传递需要。参与应急处置指挥部的成员单位及应急处置单位，保持 24小时的通讯畅通。</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应急组织指挥机构的联络方式见附件二。</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宋体" w:hAnsi="宋体" w:eastAsia="宋体" w:cs="宋体"/>
          <w:color w:val="auto"/>
          <w:sz w:val="28"/>
          <w:szCs w:val="28"/>
          <w:lang w:val="en-US" w:eastAsia="zh-CN"/>
        </w:rPr>
        <w:t>综合协调部</w:t>
      </w:r>
      <w:r>
        <w:rPr>
          <w:rFonts w:hint="eastAsia" w:cs="宋体"/>
          <w:color w:val="auto"/>
          <w:sz w:val="28"/>
          <w:szCs w:val="28"/>
          <w:lang w:val="en-US" w:eastAsia="zh-CN"/>
        </w:rPr>
        <w:t>按应急指挥部要求编制</w:t>
      </w:r>
      <w:r>
        <w:rPr>
          <w:rFonts w:hint="eastAsia" w:asciiTheme="minorEastAsia" w:hAnsiTheme="minorEastAsia" w:eastAsiaTheme="minorEastAsia" w:cstheme="minorEastAsia"/>
          <w:color w:val="auto"/>
          <w:sz w:val="28"/>
          <w:szCs w:val="28"/>
          <w:lang w:val="en-US" w:eastAsia="zh-CN"/>
        </w:rPr>
        <w:t>，通过政府发布新闻通稿、举行新闻发布会等多种形式，对外发布事件信息及应急处置进展情况。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外部应急救援机构通讯录，见附件三。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67" w:name="_Toc3257"/>
      <w:r>
        <w:rPr>
          <w:rFonts w:hint="eastAsia" w:asciiTheme="minorEastAsia" w:hAnsiTheme="minorEastAsia" w:eastAsiaTheme="minorEastAsia" w:cstheme="minorEastAsia"/>
          <w:b/>
          <w:bCs/>
          <w:color w:val="auto"/>
          <w:sz w:val="28"/>
          <w:szCs w:val="28"/>
          <w:lang w:val="en-US" w:eastAsia="zh-CN"/>
        </w:rPr>
        <w:t>6.2</w:t>
      </w:r>
      <w:r>
        <w:rPr>
          <w:rFonts w:hint="eastAsia" w:asciiTheme="minorEastAsia" w:hAnsiTheme="minorEastAsia" w:eastAsiaTheme="minorEastAsia" w:cstheme="minorEastAsia"/>
          <w:b/>
          <w:bCs/>
          <w:color w:val="auto"/>
          <w:sz w:val="28"/>
          <w:szCs w:val="28"/>
          <w:lang w:val="zh-CN"/>
        </w:rPr>
        <w:t>应急队伍保障</w:t>
      </w:r>
      <w:bookmarkEnd w:id="67"/>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坚持统筹规划、突出重点，整合现有资源，逐步加强和完善应急队伍建设，形成规模适度、管理规范的应急队伍体系。</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实行“政府领导、总队统筹、军地联动、条块结合、分级负责”的管理体制。应急指挥部成员单位应按照本部门、本单位职责，组建或指导所管辖的企事业单位组建相应的专兼职应急队伍，定期开展相关培训；当启动应急响应时，应急队伍应在现场应急指挥部的统筹安排下，根据各自职能相互配合，开展应急行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采用教学培训或实战演练作为应急预案培训方式，加强不同层面的预案演练培训工作，每年至少组织一次培训，培训内容可以包括信息报告、个体防护、应急资源使用、应急监测布点及监测方法、应急处置方法等培训科目。通过培训，不断提高全体人员的应急反映能力和救援能力</w:t>
      </w:r>
      <w:r>
        <w:rPr>
          <w:rFonts w:hint="eastAsia" w:asciiTheme="minorEastAsia" w:hAnsiTheme="minorEastAsia" w:eastAsiaTheme="minorEastAsia" w:cstheme="minorEastAsia"/>
          <w:color w:val="auto"/>
          <w:sz w:val="28"/>
          <w:szCs w:val="28"/>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68" w:name="_Toc23745"/>
      <w:r>
        <w:rPr>
          <w:rFonts w:hint="eastAsia" w:asciiTheme="minorEastAsia" w:hAnsiTheme="minorEastAsia" w:eastAsiaTheme="minorEastAsia" w:cstheme="minorEastAsia"/>
          <w:b/>
          <w:bCs/>
          <w:color w:val="auto"/>
          <w:sz w:val="28"/>
          <w:szCs w:val="28"/>
          <w:lang w:val="en-US" w:eastAsia="zh-CN"/>
        </w:rPr>
        <w:t>6.3应急资源保障</w:t>
      </w:r>
      <w:bookmarkEnd w:id="68"/>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涉及保护饮用水水源地镇乡人民政府有关部门应常年储备有应急物资、设备（包括药剂、物资、装备和设施）定期进行检查，维护，持续改进提高药剂、物资、装备的存放规范、应急设施的建设要求，确保事件发生时能够快速高效的使用应急资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69" w:name="_Toc29569"/>
      <w:r>
        <w:rPr>
          <w:rFonts w:hint="eastAsia" w:asciiTheme="minorEastAsia" w:hAnsiTheme="minorEastAsia" w:eastAsiaTheme="minorEastAsia" w:cstheme="minorEastAsia"/>
          <w:b/>
          <w:bCs/>
          <w:color w:val="auto"/>
          <w:sz w:val="28"/>
          <w:szCs w:val="28"/>
          <w:lang w:val="en-US" w:eastAsia="zh-CN"/>
        </w:rPr>
        <w:t>6.4经费保障</w:t>
      </w:r>
      <w:bookmarkEnd w:id="69"/>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中和镇人民政府每年应安排一定的专项资金，用于本单位、本辖区水源地突发事件的防范和应急处置。应急管理部门预算、应急物资采购费用列入年度预算予以保障；应急处置结束后，据实核销应急处置费用；加强应急工作经费的审计和监督管理，确保专款专用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70" w:name="_Toc14053"/>
      <w:r>
        <w:rPr>
          <w:rFonts w:hint="eastAsia" w:asciiTheme="minorEastAsia" w:hAnsiTheme="minorEastAsia" w:eastAsiaTheme="minorEastAsia" w:cstheme="minorEastAsia"/>
          <w:b/>
          <w:bCs/>
          <w:color w:val="auto"/>
          <w:sz w:val="28"/>
          <w:szCs w:val="28"/>
          <w:lang w:val="en-US" w:eastAsia="zh-CN"/>
        </w:rPr>
        <w:t>6.5其他保障</w:t>
      </w:r>
      <w:bookmarkEnd w:id="70"/>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要为应急救援人员及物资运输提供交通方便，保证紧急情况下应急交通工具的优先安排、优先调度、优先放行，并负责对事故现场道路交通实行管制，必要时开设应急救援“绿色通道”；交通干线及有关设施被毁坏时，协调有关部门和单位迅速组织抢修或架设临时通道，保障交通路线的畅通，确保救灾物资和人员能够及时安全运达，满足应急救援工作需要。</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color w:val="auto"/>
          <w:sz w:val="32"/>
          <w:szCs w:val="32"/>
        </w:rPr>
      </w:pPr>
      <w:bookmarkStart w:id="71" w:name="_Toc16701"/>
      <w:r>
        <w:rPr>
          <w:rFonts w:hint="eastAsia" w:asciiTheme="minorEastAsia" w:hAnsiTheme="minorEastAsia" w:eastAsiaTheme="minorEastAsia" w:cstheme="minorEastAsia"/>
          <w:b/>
          <w:bCs/>
          <w:color w:val="auto"/>
          <w:sz w:val="32"/>
          <w:szCs w:val="32"/>
          <w:lang w:val="en-US" w:eastAsia="zh-CN"/>
        </w:rPr>
        <w:t>7</w:t>
      </w:r>
      <w:r>
        <w:rPr>
          <w:rFonts w:hint="eastAsia" w:asciiTheme="minorEastAsia" w:hAnsiTheme="minorEastAsia" w:eastAsiaTheme="minorEastAsia" w:cstheme="minorEastAsia"/>
          <w:b/>
          <w:bCs/>
          <w:color w:val="auto"/>
          <w:sz w:val="32"/>
          <w:szCs w:val="32"/>
        </w:rPr>
        <w:t>附则</w:t>
      </w:r>
      <w:bookmarkEnd w:id="71"/>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72" w:name="_Toc8795"/>
      <w:r>
        <w:rPr>
          <w:rFonts w:hint="eastAsia" w:asciiTheme="minorEastAsia" w:hAnsiTheme="minorEastAsia" w:eastAsiaTheme="minorEastAsia" w:cstheme="minorEastAsia"/>
          <w:b/>
          <w:bCs/>
          <w:color w:val="auto"/>
          <w:sz w:val="28"/>
          <w:szCs w:val="28"/>
          <w:lang w:val="en-US" w:eastAsia="zh-CN"/>
        </w:rPr>
        <w:t>7.1</w:t>
      </w:r>
      <w:r>
        <w:rPr>
          <w:rFonts w:hint="eastAsia" w:asciiTheme="minorEastAsia" w:hAnsiTheme="minorEastAsia" w:eastAsiaTheme="minorEastAsia" w:cstheme="minorEastAsia"/>
          <w:b/>
          <w:bCs/>
          <w:color w:val="auto"/>
          <w:sz w:val="28"/>
          <w:szCs w:val="28"/>
          <w:lang w:val="zh-CN"/>
        </w:rPr>
        <w:t>名词术语</w:t>
      </w:r>
      <w:bookmarkEnd w:id="72"/>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w:t>
      </w:r>
      <w:r>
        <w:rPr>
          <w:rFonts w:hint="eastAsia" w:asciiTheme="minorEastAsia" w:hAnsiTheme="minorEastAsia" w:eastAsiaTheme="minorEastAsia" w:cstheme="minorEastAsia"/>
          <w:color w:val="auto"/>
          <w:sz w:val="28"/>
          <w:szCs w:val="28"/>
        </w:rPr>
        <w:t>饮</w:t>
      </w:r>
      <w:r>
        <w:rPr>
          <w:rFonts w:hint="eastAsia" w:asciiTheme="minorEastAsia" w:hAnsiTheme="minorEastAsia" w:eastAsiaTheme="minorEastAsia" w:cstheme="minorEastAsia"/>
          <w:color w:val="auto"/>
          <w:sz w:val="28"/>
          <w:szCs w:val="28"/>
          <w:lang w:val="en-US" w:eastAsia="zh-CN"/>
        </w:rPr>
        <w:t>用水水源保护区</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指国家为防治饮用水水源地污染、保障水源地环境质量而划定，并要求加以特殊保护的一定面积的水域和陆域。饮用水水源保护区分为二级保护区，必要时可在水源保护区外划定准保护区。</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2)地表水饮用水水源地风险物质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zh-CN" w:eastAsia="zh-CN"/>
        </w:rPr>
        <w:t>指《地表水环境质量标准》（GB3838-2002）中表 1、表 2 和表 3 所包含的项目与物质，以及该标准之外其他可能影响人体健康的项目与物质。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3)饮用水水源地突发环境事件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zh-CN" w:eastAsia="zh-CN"/>
        </w:rPr>
      </w:pPr>
      <w:r>
        <w:rPr>
          <w:rFonts w:hint="eastAsia" w:asciiTheme="minorEastAsia" w:hAnsiTheme="minorEastAsia" w:eastAsiaTheme="minorEastAsia" w:cstheme="minorEastAsia"/>
          <w:color w:val="auto"/>
          <w:sz w:val="28"/>
          <w:szCs w:val="28"/>
          <w:lang w:val="zh-CN" w:eastAsia="zh-CN"/>
        </w:rPr>
        <w:t>指由于污染物排放或自然灾害、生产安全事故、交通运输事故等因素，导致水源地风险物质进入水源保护区或其上游的连接水体，突然造成或可能造成水源地水质超标，影响或可能影响饮用水供水单位正常取水，危及公众身体健康和财产安全，需要采取紧急措施予以应对的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4)水质超标</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zh-CN" w:eastAsia="zh-CN"/>
        </w:rPr>
      </w:pPr>
      <w:r>
        <w:rPr>
          <w:rFonts w:hint="eastAsia" w:asciiTheme="minorEastAsia" w:hAnsiTheme="minorEastAsia" w:eastAsiaTheme="minorEastAsia" w:cstheme="minorEastAsia"/>
          <w:color w:val="auto"/>
          <w:sz w:val="28"/>
          <w:szCs w:val="28"/>
          <w:lang w:val="zh-CN" w:eastAsia="zh-CN"/>
        </w:rPr>
        <w:t>指水源地水质超过《地表水环境质量标准》（GB3838-2002）、</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zh-CN" w:eastAsia="zh-CN"/>
        </w:rPr>
      </w:pPr>
      <w:r>
        <w:rPr>
          <w:rFonts w:hint="eastAsia" w:asciiTheme="minorEastAsia" w:hAnsiTheme="minorEastAsia" w:eastAsiaTheme="minorEastAsia" w:cstheme="minorEastAsia"/>
          <w:color w:val="auto"/>
          <w:sz w:val="28"/>
          <w:szCs w:val="28"/>
          <w:lang w:val="zh-CN" w:eastAsia="zh-CN"/>
        </w:rPr>
        <w:t>《地下水质量标准》（GB/T14848-2017）规定的Ⅲ类水质标准或标准限值的要求。</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73" w:name="_Toc17792"/>
      <w:r>
        <w:rPr>
          <w:rFonts w:hint="eastAsia" w:asciiTheme="minorEastAsia" w:hAnsiTheme="minorEastAsia" w:eastAsiaTheme="minorEastAsia" w:cstheme="minorEastAsia"/>
          <w:b/>
          <w:bCs/>
          <w:color w:val="auto"/>
          <w:sz w:val="28"/>
          <w:szCs w:val="28"/>
          <w:lang w:val="en-US" w:eastAsia="zh-CN"/>
        </w:rPr>
        <w:t>7.2</w:t>
      </w:r>
      <w:r>
        <w:rPr>
          <w:rFonts w:hint="eastAsia" w:asciiTheme="minorEastAsia" w:hAnsiTheme="minorEastAsia" w:eastAsiaTheme="minorEastAsia" w:cstheme="minorEastAsia"/>
          <w:b/>
          <w:bCs/>
          <w:color w:val="auto"/>
          <w:sz w:val="28"/>
          <w:szCs w:val="28"/>
          <w:lang w:val="zh-CN"/>
        </w:rPr>
        <w:t>预案解释权属</w:t>
      </w:r>
      <w:bookmarkEnd w:id="73"/>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zh-CN" w:eastAsia="zh-CN"/>
        </w:rPr>
      </w:pPr>
      <w:r>
        <w:rPr>
          <w:rFonts w:hint="eastAsia" w:asciiTheme="minorEastAsia" w:hAnsiTheme="minorEastAsia" w:eastAsiaTheme="minorEastAsia" w:cstheme="minorEastAsia"/>
          <w:color w:val="auto"/>
          <w:sz w:val="28"/>
          <w:szCs w:val="28"/>
          <w:lang w:val="zh-CN" w:eastAsia="zh-CN"/>
        </w:rPr>
        <w:t>重庆市开州区</w:t>
      </w:r>
      <w:r>
        <w:rPr>
          <w:rFonts w:hint="eastAsia" w:asciiTheme="minorEastAsia" w:hAnsiTheme="minorEastAsia" w:eastAsiaTheme="minorEastAsia" w:cstheme="minorEastAsia"/>
          <w:color w:val="auto"/>
          <w:sz w:val="28"/>
          <w:szCs w:val="28"/>
          <w:lang w:val="en-US" w:eastAsia="zh-CN"/>
        </w:rPr>
        <w:t>白水村黄金河</w:t>
      </w:r>
      <w:r>
        <w:rPr>
          <w:rFonts w:hint="eastAsia" w:asciiTheme="minorEastAsia" w:hAnsiTheme="minorEastAsia" w:eastAsiaTheme="minorEastAsia" w:cstheme="minorEastAsia"/>
          <w:color w:val="auto"/>
          <w:sz w:val="28"/>
          <w:szCs w:val="28"/>
          <w:lang w:val="zh-CN" w:eastAsia="zh-CN"/>
        </w:rPr>
        <w:t>饮用水水源地突发环境事件应急预案的解释权归属开州区</w:t>
      </w:r>
      <w:r>
        <w:rPr>
          <w:rFonts w:hint="eastAsia" w:asciiTheme="minorEastAsia" w:hAnsiTheme="minorEastAsia" w:eastAsiaTheme="minorEastAsia" w:cstheme="minorEastAsia"/>
          <w:color w:val="auto"/>
          <w:sz w:val="28"/>
          <w:szCs w:val="28"/>
          <w:lang w:val="en-US" w:eastAsia="zh-CN"/>
        </w:rPr>
        <w:t>中和镇人民政府</w:t>
      </w:r>
      <w:r>
        <w:rPr>
          <w:rFonts w:hint="eastAsia" w:asciiTheme="minorEastAsia" w:hAnsiTheme="minorEastAsia" w:eastAsiaTheme="minorEastAsia" w:cstheme="minorEastAsia"/>
          <w:color w:val="auto"/>
          <w:sz w:val="28"/>
          <w:szCs w:val="28"/>
          <w:lang w:val="zh-CN"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74" w:name="_Toc29630"/>
      <w:r>
        <w:rPr>
          <w:rFonts w:hint="eastAsia" w:asciiTheme="minorEastAsia" w:hAnsiTheme="minorEastAsia" w:eastAsiaTheme="minorEastAsia" w:cstheme="minorEastAsia"/>
          <w:b/>
          <w:bCs/>
          <w:color w:val="auto"/>
          <w:sz w:val="28"/>
          <w:szCs w:val="28"/>
          <w:lang w:val="en-US" w:eastAsia="zh-CN"/>
        </w:rPr>
        <w:t>7.3预案演练和修订</w:t>
      </w:r>
      <w:bookmarkEnd w:id="74"/>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zh-CN" w:eastAsia="zh-CN"/>
        </w:rPr>
      </w:pPr>
      <w:r>
        <w:rPr>
          <w:rFonts w:hint="eastAsia" w:asciiTheme="minorEastAsia" w:hAnsiTheme="minorEastAsia" w:eastAsiaTheme="minorEastAsia" w:cstheme="minorEastAsia"/>
          <w:color w:val="auto"/>
          <w:sz w:val="28"/>
          <w:szCs w:val="28"/>
          <w:lang w:val="zh-CN" w:eastAsia="zh-CN"/>
        </w:rPr>
        <w:t>应急指挥部办公室每年开展一次水源地突发环境事件应急处置演练。</w:t>
      </w:r>
      <w:r>
        <w:rPr>
          <w:rFonts w:hint="eastAsia" w:asciiTheme="minorEastAsia" w:hAnsiTheme="minorEastAsia" w:eastAsiaTheme="minorEastAsia" w:cstheme="minorEastAsia"/>
          <w:color w:val="auto"/>
          <w:sz w:val="28"/>
          <w:szCs w:val="28"/>
          <w:lang w:val="en-US" w:eastAsia="zh-CN"/>
        </w:rPr>
        <w:t>定时组织供管水有关人员学习人员学习现行生活饮用水有关法律法规、标准规范及有关卫生要求，使其知法、懂法、自觉守法，不断增强依法供水、管水的法制观念和责任意识，按要求履行其职责及义务，保证所供给的生活饮水卫生质量；同时进行生活饮用水污染事故应急处理及救援知识专门培训和教育，增强水污染事故防范意识和应对能力，并开展应急演练，</w:t>
      </w:r>
      <w:r>
        <w:rPr>
          <w:rFonts w:hint="eastAsia" w:asciiTheme="minorEastAsia" w:hAnsiTheme="minorEastAsia" w:eastAsiaTheme="minorEastAsia" w:cstheme="minorEastAsia"/>
          <w:color w:val="auto"/>
          <w:sz w:val="28"/>
          <w:szCs w:val="28"/>
          <w:lang w:val="zh-CN" w:eastAsia="zh-CN"/>
        </w:rPr>
        <w:t>演练内容包括通讯系统是否正常运作、信息报送流程是否畅通、各应急工作组配合是否协调、应急人员能力是否满足需要等。演练结束后，应对演练情况进行总结评估，并根据演练结果及时修订完善。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zh-CN" w:eastAsia="zh-CN"/>
        </w:rPr>
      </w:pPr>
      <w:r>
        <w:rPr>
          <w:rFonts w:hint="eastAsia" w:asciiTheme="minorEastAsia" w:hAnsiTheme="minorEastAsia" w:eastAsiaTheme="minorEastAsia" w:cstheme="minorEastAsia"/>
          <w:color w:val="auto"/>
          <w:sz w:val="28"/>
          <w:szCs w:val="28"/>
          <w:lang w:val="zh-CN" w:eastAsia="zh-CN"/>
        </w:rPr>
        <w:t>本预案原则上每</w:t>
      </w:r>
      <w:r>
        <w:rPr>
          <w:rFonts w:hint="eastAsia" w:asciiTheme="minorEastAsia" w:hAnsiTheme="minorEastAsia" w:eastAsiaTheme="minorEastAsia" w:cstheme="minorEastAsia"/>
          <w:color w:val="auto"/>
          <w:sz w:val="28"/>
          <w:szCs w:val="28"/>
          <w:lang w:val="en-US" w:eastAsia="zh-CN"/>
        </w:rPr>
        <w:t>三</w:t>
      </w:r>
      <w:r>
        <w:rPr>
          <w:rFonts w:hint="eastAsia" w:asciiTheme="minorEastAsia" w:hAnsiTheme="minorEastAsia" w:eastAsiaTheme="minorEastAsia" w:cstheme="minorEastAsia"/>
          <w:color w:val="auto"/>
          <w:sz w:val="28"/>
          <w:szCs w:val="28"/>
          <w:lang w:val="zh-CN" w:eastAsia="zh-CN"/>
        </w:rPr>
        <w:t>年修订一次，但若在演练中存在重大偏差和缺陷，存在较大的不适应，预案所依据的法律法规、所涉及的机构和人员发生重大变化，或在执行中有新的情况，应及时对应急预案进行修订，修订完善后的应急预案应及时发至相关部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75" w:name="_Toc8302"/>
      <w:r>
        <w:rPr>
          <w:rFonts w:hint="eastAsia" w:asciiTheme="minorEastAsia" w:hAnsiTheme="minorEastAsia" w:eastAsiaTheme="minorEastAsia" w:cstheme="minorEastAsia"/>
          <w:b/>
          <w:bCs/>
          <w:color w:val="auto"/>
          <w:sz w:val="28"/>
          <w:szCs w:val="28"/>
          <w:lang w:val="en-US" w:eastAsia="zh-CN"/>
        </w:rPr>
        <w:t>7.4预案实施日期</w:t>
      </w:r>
      <w:bookmarkEnd w:id="75"/>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本预案自公布之日起施行。</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en-US" w:eastAsia="zh-CN"/>
        </w:rPr>
      </w:pPr>
      <w:r>
        <w:rPr>
          <w:rFonts w:hint="eastAsia" w:asciiTheme="minorEastAsia" w:hAnsiTheme="minorEastAsia" w:eastAsiaTheme="minorEastAsia" w:cstheme="minorEastAsia"/>
          <w:color w:val="FF0000"/>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color w:val="auto"/>
          <w:sz w:val="32"/>
          <w:szCs w:val="32"/>
          <w:lang w:val="en-US" w:eastAsia="zh-CN"/>
        </w:rPr>
      </w:pPr>
      <w:bookmarkStart w:id="76" w:name="_Toc14548"/>
      <w:r>
        <w:rPr>
          <w:rFonts w:hint="eastAsia" w:asciiTheme="minorEastAsia" w:hAnsiTheme="minorEastAsia" w:eastAsiaTheme="minorEastAsia" w:cstheme="minorEastAsia"/>
          <w:b/>
          <w:bCs/>
          <w:color w:val="auto"/>
          <w:sz w:val="32"/>
          <w:szCs w:val="32"/>
          <w:lang w:val="en-US" w:eastAsia="zh-CN"/>
        </w:rPr>
        <w:t>附件及附图</w:t>
      </w:r>
      <w:bookmarkEnd w:id="76"/>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附件</w:t>
      </w:r>
      <w:r>
        <w:rPr>
          <w:rFonts w:hint="eastAsia" w:asciiTheme="minorEastAsia" w:hAnsiTheme="minorEastAsia" w:eastAsiaTheme="minorEastAsia" w:cstheme="minorEastAsia"/>
          <w:color w:val="auto"/>
          <w:sz w:val="28"/>
          <w:szCs w:val="28"/>
          <w:lang w:val="en-US" w:eastAsia="zh-CN"/>
        </w:rPr>
        <w:t>一</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饮用水水源地突发环境事件分级标准</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附件二：</w:t>
      </w:r>
      <w:r>
        <w:rPr>
          <w:rFonts w:hint="eastAsia" w:asciiTheme="minorEastAsia" w:hAnsiTheme="minorEastAsia" w:eastAsiaTheme="minorEastAsia" w:cstheme="minorEastAsia"/>
          <w:color w:val="auto"/>
          <w:sz w:val="28"/>
          <w:szCs w:val="28"/>
        </w:rPr>
        <w:t>应急组织机构联络方式</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附件三：外部救援机构联系电话</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zh-CN"/>
        </w:rPr>
      </w:pPr>
      <w:r>
        <w:rPr>
          <w:rFonts w:hint="eastAsia" w:asciiTheme="minorEastAsia" w:hAnsiTheme="minorEastAsia" w:eastAsiaTheme="minorEastAsia" w:cstheme="minorEastAsia"/>
          <w:color w:val="auto"/>
          <w:sz w:val="28"/>
          <w:szCs w:val="28"/>
          <w:lang w:val="zh-CN"/>
        </w:rPr>
        <w:t>附件</w:t>
      </w:r>
      <w:r>
        <w:rPr>
          <w:rFonts w:hint="eastAsia" w:asciiTheme="minorEastAsia" w:hAnsiTheme="minorEastAsia" w:eastAsiaTheme="minorEastAsia" w:cstheme="minorEastAsia"/>
          <w:color w:val="auto"/>
          <w:sz w:val="28"/>
          <w:szCs w:val="28"/>
          <w:lang w:val="en-US" w:eastAsia="zh-CN"/>
        </w:rPr>
        <w:t>四：</w:t>
      </w:r>
      <w:r>
        <w:rPr>
          <w:rFonts w:hint="eastAsia" w:asciiTheme="minorEastAsia" w:hAnsiTheme="minorEastAsia" w:eastAsiaTheme="minorEastAsia" w:cstheme="minorEastAsia"/>
          <w:color w:val="auto"/>
          <w:sz w:val="28"/>
          <w:szCs w:val="28"/>
          <w:lang w:val="zh-CN"/>
        </w:rPr>
        <w:t>应急救援物资一览表</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9"/>
        <w:rPr>
          <w:rFonts w:hint="eastAsia" w:cs="宋体"/>
          <w:b w:val="0"/>
          <w:bCs w:val="0"/>
          <w:color w:val="auto"/>
          <w:sz w:val="28"/>
          <w:szCs w:val="28"/>
          <w:lang w:val="zh-CN" w:eastAsia="zh-CN"/>
        </w:rPr>
      </w:pPr>
      <w:r>
        <w:rPr>
          <w:rFonts w:hint="eastAsia" w:cs="宋体"/>
          <w:b w:val="0"/>
          <w:bCs w:val="0"/>
          <w:color w:val="auto"/>
          <w:sz w:val="28"/>
          <w:szCs w:val="28"/>
          <w:lang w:val="zh-CN" w:eastAsia="zh-CN"/>
        </w:rPr>
        <w:t>附</w:t>
      </w:r>
      <w:r>
        <w:rPr>
          <w:rFonts w:hint="eastAsia" w:cs="宋体"/>
          <w:b w:val="0"/>
          <w:bCs w:val="0"/>
          <w:color w:val="auto"/>
          <w:sz w:val="28"/>
          <w:szCs w:val="28"/>
          <w:lang w:val="en-US" w:eastAsia="zh-CN"/>
        </w:rPr>
        <w:t>图一：</w:t>
      </w:r>
      <w:r>
        <w:rPr>
          <w:rFonts w:hint="eastAsia" w:cs="宋体"/>
          <w:b w:val="0"/>
          <w:bCs w:val="0"/>
          <w:color w:val="auto"/>
          <w:sz w:val="28"/>
          <w:szCs w:val="28"/>
          <w:lang w:val="zh-CN" w:eastAsia="zh-CN"/>
        </w:rPr>
        <w:t>开州区</w:t>
      </w:r>
      <w:r>
        <w:rPr>
          <w:rFonts w:hint="eastAsia" w:cs="宋体"/>
          <w:b w:val="0"/>
          <w:bCs w:val="0"/>
          <w:color w:val="auto"/>
          <w:sz w:val="28"/>
          <w:szCs w:val="28"/>
          <w:lang w:val="en-US" w:eastAsia="zh-CN"/>
        </w:rPr>
        <w:t>白水村黄金河</w:t>
      </w:r>
      <w:r>
        <w:rPr>
          <w:rFonts w:hint="eastAsia" w:cs="宋体"/>
          <w:b w:val="0"/>
          <w:bCs w:val="0"/>
          <w:color w:val="auto"/>
          <w:sz w:val="28"/>
          <w:szCs w:val="28"/>
          <w:lang w:val="zh-CN" w:eastAsia="zh-CN"/>
        </w:rPr>
        <w:t>集中式地表水饮用水水源地地理位置图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9"/>
        <w:rPr>
          <w:rFonts w:hint="default" w:cs="宋体"/>
          <w:b w:val="0"/>
          <w:bCs w:val="0"/>
          <w:color w:val="auto"/>
          <w:sz w:val="28"/>
          <w:szCs w:val="28"/>
          <w:lang w:val="en-US" w:eastAsia="zh-CN"/>
        </w:rPr>
      </w:pPr>
      <w:r>
        <w:rPr>
          <w:rFonts w:hint="eastAsia" w:cs="宋体"/>
          <w:b w:val="0"/>
          <w:bCs w:val="0"/>
          <w:color w:val="auto"/>
          <w:sz w:val="28"/>
          <w:szCs w:val="28"/>
          <w:lang w:val="zh-CN" w:eastAsia="zh-CN"/>
        </w:rPr>
        <w:t>附</w:t>
      </w:r>
      <w:r>
        <w:rPr>
          <w:rFonts w:hint="eastAsia" w:cs="宋体"/>
          <w:b w:val="0"/>
          <w:bCs w:val="0"/>
          <w:color w:val="auto"/>
          <w:sz w:val="28"/>
          <w:szCs w:val="28"/>
          <w:lang w:val="en-US" w:eastAsia="zh-CN"/>
        </w:rPr>
        <w:t>图二：</w:t>
      </w:r>
      <w:r>
        <w:rPr>
          <w:rFonts w:hint="eastAsia" w:cs="宋体"/>
          <w:b w:val="0"/>
          <w:bCs w:val="0"/>
          <w:color w:val="auto"/>
          <w:sz w:val="28"/>
          <w:szCs w:val="28"/>
          <w:lang w:val="zh-CN" w:eastAsia="zh-CN"/>
        </w:rPr>
        <w:t>开州区</w:t>
      </w:r>
      <w:r>
        <w:rPr>
          <w:rFonts w:hint="eastAsia" w:cs="宋体"/>
          <w:b w:val="0"/>
          <w:bCs w:val="0"/>
          <w:color w:val="auto"/>
          <w:sz w:val="28"/>
          <w:szCs w:val="28"/>
          <w:lang w:val="en-US" w:eastAsia="zh-CN"/>
        </w:rPr>
        <w:t>白水村黄金河</w:t>
      </w:r>
      <w:r>
        <w:rPr>
          <w:rFonts w:hint="eastAsia" w:cs="宋体"/>
          <w:b w:val="0"/>
          <w:bCs w:val="0"/>
          <w:color w:val="auto"/>
          <w:sz w:val="28"/>
          <w:szCs w:val="28"/>
          <w:lang w:val="zh-CN" w:eastAsia="zh-CN"/>
        </w:rPr>
        <w:t>集中式地表水饮用水水源地</w:t>
      </w:r>
      <w:r>
        <w:rPr>
          <w:rFonts w:hint="eastAsia" w:cs="宋体"/>
          <w:b w:val="0"/>
          <w:bCs w:val="0"/>
          <w:color w:val="auto"/>
          <w:sz w:val="28"/>
          <w:szCs w:val="28"/>
          <w:lang w:val="en-US" w:eastAsia="zh-CN"/>
        </w:rPr>
        <w:t>保护区域范围图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9"/>
        <w:rPr>
          <w:rFonts w:hint="eastAsia" w:cs="宋体"/>
          <w:b w:val="0"/>
          <w:bCs w:val="0"/>
          <w:color w:val="auto"/>
          <w:sz w:val="28"/>
          <w:szCs w:val="28"/>
          <w:lang w:val="en-US" w:eastAsia="zh-CN"/>
        </w:rPr>
      </w:pPr>
      <w:r>
        <w:rPr>
          <w:rFonts w:hint="eastAsia" w:cs="宋体"/>
          <w:b w:val="0"/>
          <w:bCs w:val="0"/>
          <w:color w:val="auto"/>
          <w:sz w:val="28"/>
          <w:szCs w:val="28"/>
          <w:lang w:val="en-US" w:eastAsia="zh-CN"/>
        </w:rPr>
        <w:t>附图三：开州区白水村黄金河供水区域图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9"/>
        <w:rPr>
          <w:rFonts w:hint="default" w:cs="宋体"/>
          <w:b w:val="0"/>
          <w:bCs w:val="0"/>
          <w:color w:val="auto"/>
          <w:sz w:val="28"/>
          <w:szCs w:val="28"/>
          <w:lang w:val="en-US" w:eastAsia="zh-CN"/>
        </w:rPr>
      </w:pPr>
      <w:r>
        <w:rPr>
          <w:rFonts w:hint="eastAsia" w:cs="宋体"/>
          <w:b w:val="0"/>
          <w:bCs w:val="0"/>
          <w:color w:val="auto"/>
          <w:sz w:val="28"/>
          <w:szCs w:val="28"/>
          <w:lang w:val="en-US" w:eastAsia="zh-CN"/>
        </w:rPr>
        <w:t>附图四：开州区水系图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9"/>
        <w:rPr>
          <w:rFonts w:hint="eastAsia" w:cs="宋体"/>
          <w:b w:val="0"/>
          <w:bCs w:val="0"/>
          <w:color w:val="auto"/>
          <w:sz w:val="28"/>
          <w:szCs w:val="28"/>
          <w:lang w:val="en-US" w:eastAsia="zh-CN"/>
        </w:rPr>
        <w:sectPr>
          <w:footerReference r:id="rId10" w:type="default"/>
          <w:pgSz w:w="11906" w:h="16838"/>
          <w:pgMar w:top="1440" w:right="1800" w:bottom="1440" w:left="1800" w:header="851" w:footer="992" w:gutter="0"/>
          <w:pgNumType w:fmt="decimal" w:start="1"/>
          <w:cols w:space="425" w:num="1"/>
          <w:docGrid w:type="lines" w:linePitch="312" w:charSpace="0"/>
        </w:sectPr>
      </w:pPr>
      <w:r>
        <w:rPr>
          <w:rFonts w:hint="eastAsia" w:cs="宋体"/>
          <w:b w:val="0"/>
          <w:bCs w:val="0"/>
          <w:color w:val="auto"/>
          <w:sz w:val="28"/>
          <w:szCs w:val="28"/>
          <w:lang w:val="en-US" w:eastAsia="zh-CN"/>
        </w:rPr>
        <w:t>附图五：开州区地图</w:t>
      </w:r>
    </w:p>
    <w:bookmarkEnd w:id="47"/>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77" w:name="_Toc1590"/>
      <w:r>
        <w:rPr>
          <w:rFonts w:hint="eastAsia" w:asciiTheme="minorEastAsia" w:hAnsiTheme="minorEastAsia" w:eastAsiaTheme="minorEastAsia" w:cstheme="minorEastAsia"/>
          <w:b/>
          <w:bCs/>
          <w:color w:val="auto"/>
          <w:sz w:val="28"/>
          <w:szCs w:val="28"/>
          <w:lang w:val="zh-CN"/>
        </w:rPr>
        <w:t>附件</w:t>
      </w:r>
      <w:r>
        <w:rPr>
          <w:rFonts w:hint="eastAsia" w:asciiTheme="minorEastAsia" w:hAnsiTheme="minorEastAsia" w:eastAsiaTheme="minorEastAsia" w:cstheme="minorEastAsia"/>
          <w:b/>
          <w:bCs/>
          <w:color w:val="auto"/>
          <w:sz w:val="28"/>
          <w:szCs w:val="28"/>
          <w:lang w:val="en-US" w:eastAsia="zh-CN"/>
        </w:rPr>
        <w:t>一</w:t>
      </w:r>
      <w:r>
        <w:rPr>
          <w:rFonts w:hint="eastAsia" w:asciiTheme="minorEastAsia" w:hAnsiTheme="minorEastAsia" w:eastAsiaTheme="minorEastAsia" w:cstheme="minorEastAsia"/>
          <w:b/>
          <w:bCs/>
          <w:color w:val="auto"/>
          <w:sz w:val="28"/>
          <w:szCs w:val="28"/>
          <w:lang w:val="zh-CN" w:eastAsia="zh-CN"/>
        </w:rPr>
        <w:t>：</w:t>
      </w:r>
      <w:r>
        <w:rPr>
          <w:rFonts w:hint="eastAsia" w:asciiTheme="minorEastAsia" w:hAnsiTheme="minorEastAsia" w:eastAsiaTheme="minorEastAsia" w:cstheme="minorEastAsia"/>
          <w:b/>
          <w:bCs/>
          <w:color w:val="auto"/>
          <w:sz w:val="28"/>
          <w:szCs w:val="28"/>
          <w:lang w:val="zh-CN"/>
        </w:rPr>
        <w:t>饮用水水源地突发环境事件分级标准</w:t>
      </w:r>
      <w:bookmarkEnd w:id="77"/>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参照《国家突发环境事件应急预案》（2014年版）、《重庆市突发环境事件应急预案》（渝府办发〔2016〕22号），重庆市开州区白水村黄金河饮用水水源地突发环境事件做出如下分级规定。</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一、重大环境事件（Ⅰ级）：</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1)发生10人以上、30人以下死亡，中毒（重伤）50人以上，100人以下的；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2)区域生态功能部分丧失或濒危物种生存环境受到污染；</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3)因环境污染使当地经济、社会活动受到较大影响，疏散转移群众1万人以上，5万人以下的；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4)因环境污染造成重要河流、湖泊、水库大面积污染，或乡级以上城镇水源地取水中断的污染事故。</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二、较大环境事件（Ⅱ级）：</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1)发生3人以上、10人以下死亡，或中毒（重伤）10以上、50人以下；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2)因环境污染造成跨乡级行政区纠纷，使当地经济、社会活动受到影响；</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三、一般环境事件（Ⅲ级）：</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1)发生3人以下死亡，中毒（重伤）10以下；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2)因环境污染造成跨村级行政区域纠纷，引起一般群体。</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78" w:name="_Toc17537"/>
      <w:r>
        <w:rPr>
          <w:rFonts w:hint="eastAsia" w:asciiTheme="minorEastAsia" w:hAnsiTheme="minorEastAsia" w:eastAsiaTheme="minorEastAsia" w:cstheme="minorEastAsia"/>
          <w:b/>
          <w:bCs/>
          <w:color w:val="auto"/>
          <w:sz w:val="28"/>
          <w:szCs w:val="28"/>
          <w:lang w:val="en-US" w:eastAsia="zh-CN"/>
        </w:rPr>
        <w:t>附件二：</w:t>
      </w:r>
      <w:r>
        <w:rPr>
          <w:rFonts w:hint="eastAsia" w:asciiTheme="minorEastAsia" w:hAnsiTheme="minorEastAsia" w:eastAsiaTheme="minorEastAsia" w:cstheme="minorEastAsia"/>
          <w:b/>
          <w:bCs/>
          <w:color w:val="auto"/>
          <w:sz w:val="28"/>
          <w:szCs w:val="28"/>
          <w:lang w:val="zh-CN"/>
        </w:rPr>
        <w:t>应急组织机构联络方式</w:t>
      </w:r>
      <w:bookmarkEnd w:id="78"/>
    </w:p>
    <w:tbl>
      <w:tblPr>
        <w:tblStyle w:val="14"/>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1245"/>
        <w:gridCol w:w="2370"/>
        <w:gridCol w:w="1504"/>
        <w:gridCol w:w="2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宋体" w:hAnsi="宋体" w:eastAsia="宋体" w:cs="宋体"/>
                <w:b/>
                <w:color w:val="auto"/>
                <w:sz w:val="21"/>
                <w:szCs w:val="21"/>
              </w:rPr>
            </w:pPr>
            <w:bookmarkStart w:id="79" w:name="_Toc6076"/>
            <w:r>
              <w:rPr>
                <w:rFonts w:hint="eastAsia" w:asciiTheme="minorEastAsia" w:hAnsiTheme="minorEastAsia" w:eastAsiaTheme="minorEastAsia" w:cstheme="minorEastAsia"/>
                <w:sz w:val="28"/>
                <w:szCs w:val="28"/>
                <w:lang w:val="en-US" w:eastAsia="zh-CN"/>
              </w:rPr>
              <w:br w:type="page"/>
            </w:r>
            <w:r>
              <w:rPr>
                <w:rFonts w:hint="eastAsia" w:ascii="宋体" w:hAnsi="宋体" w:eastAsia="宋体" w:cs="宋体"/>
                <w:b/>
                <w:color w:val="auto"/>
                <w:sz w:val="21"/>
                <w:szCs w:val="21"/>
              </w:rPr>
              <w:t>名称</w:t>
            </w: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应急职务</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职位</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b/>
                <w:color w:val="auto"/>
                <w:sz w:val="21"/>
                <w:szCs w:val="21"/>
                <w:lang w:eastAsia="zh-CN"/>
              </w:rPr>
            </w:pPr>
            <w:r>
              <w:rPr>
                <w:rFonts w:hint="eastAsia" w:ascii="宋体" w:hAnsi="宋体" w:eastAsia="宋体" w:cs="宋体"/>
                <w:b/>
                <w:color w:val="auto"/>
                <w:sz w:val="21"/>
                <w:szCs w:val="21"/>
                <w:lang w:eastAsia="zh-CN"/>
              </w:rPr>
              <w:t>姓名</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b/>
                <w:color w:val="auto"/>
                <w:sz w:val="21"/>
                <w:szCs w:val="21"/>
                <w:lang w:eastAsia="zh-CN"/>
              </w:rPr>
            </w:pPr>
            <w:r>
              <w:rPr>
                <w:rFonts w:hint="eastAsia" w:ascii="宋体" w:hAnsi="宋体" w:eastAsia="宋体" w:cs="宋体"/>
                <w:b/>
                <w:color w:val="auto"/>
                <w:sz w:val="21"/>
                <w:szCs w:val="21"/>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应急指挥部</w:t>
            </w: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总指挥</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镇长</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庞辉</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18581354177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副总指挥</w:t>
            </w:r>
          </w:p>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副镇长</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王勇</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13896933470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副镇长</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何明</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15023838577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副镇长</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倪全章</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15826309208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成员</w:t>
            </w:r>
          </w:p>
        </w:tc>
        <w:tc>
          <w:tcPr>
            <w:tcW w:w="6015" w:type="dxa"/>
            <w:gridSpan w:val="3"/>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党政办、平安办、应急办、财政办、规建环办、社事办、执法办、水利服务中心、农业服务中心、人居环境服务中心、综合执法大队、派出所、卫生院、供电所负责人和各村（社区）挂片领导、支部书记、主任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restart"/>
            <w:noWrap w:val="0"/>
            <w:vAlign w:val="center"/>
          </w:tcPr>
          <w:p>
            <w:pPr>
              <w:pageBreakBefore w:val="0"/>
              <w:widowControl w:val="0"/>
              <w:kinsoku/>
              <w:wordWrap/>
              <w:overflowPunct/>
              <w:topLinePunct w:val="0"/>
              <w:bidi w:val="0"/>
              <w:adjustRightInd w:val="0"/>
              <w:snapToGrid w:val="0"/>
              <w:spacing w:line="360" w:lineRule="auto"/>
              <w:ind w:left="0" w:leftChars="0"/>
              <w:jc w:val="center"/>
              <w:textAlignment w:val="auto"/>
              <w:rPr>
                <w:rFonts w:hint="eastAsia" w:ascii="宋体" w:hAnsi="宋体" w:eastAsia="宋体" w:cs="宋体"/>
                <w:color w:val="auto"/>
                <w:sz w:val="21"/>
                <w:szCs w:val="21"/>
              </w:rPr>
            </w:pPr>
            <w:r>
              <w:rPr>
                <w:rFonts w:ascii="Times New Roman" w:hAnsi="Times New Roman"/>
                <w:sz w:val="21"/>
                <w:szCs w:val="21"/>
              </w:rPr>
              <w:t>现场处置组</w:t>
            </w: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组长</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副镇长（分管安全</w:t>
            </w:r>
            <w:r>
              <w:rPr>
                <w:rFonts w:hint="eastAsia" w:ascii="宋体" w:hAnsi="宋体" w:cs="宋体"/>
                <w:color w:val="auto"/>
                <w:sz w:val="21"/>
                <w:szCs w:val="21"/>
                <w:lang w:eastAsia="zh-CN"/>
              </w:rPr>
              <w:t>）</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何明</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15023838577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成员</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应急</w:t>
            </w:r>
            <w:r>
              <w:rPr>
                <w:rFonts w:hint="eastAsia" w:ascii="宋体" w:hAnsi="宋体" w:cs="宋体"/>
                <w:color w:val="auto"/>
                <w:sz w:val="21"/>
                <w:szCs w:val="21"/>
                <w:lang w:val="en-US" w:eastAsia="zh-CN"/>
              </w:rPr>
              <w:t>管理</w:t>
            </w:r>
            <w:r>
              <w:rPr>
                <w:rFonts w:hint="eastAsia" w:ascii="宋体" w:hAnsi="宋体" w:eastAsia="宋体" w:cs="宋体"/>
                <w:color w:val="auto"/>
                <w:sz w:val="21"/>
                <w:szCs w:val="21"/>
                <w:lang w:val="en-US" w:eastAsia="zh-CN"/>
              </w:rPr>
              <w:t>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余永春</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13896365778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水利服务中心</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王晓林</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15215238066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规划建设管理</w:t>
            </w:r>
            <w:r>
              <w:rPr>
                <w:rFonts w:hint="eastAsia" w:ascii="宋体" w:hAnsi="宋体" w:eastAsia="宋体" w:cs="宋体"/>
                <w:color w:val="auto"/>
                <w:sz w:val="21"/>
                <w:szCs w:val="21"/>
                <w:lang w:val="en-US" w:eastAsia="zh-CN"/>
              </w:rPr>
              <w:t>环</w:t>
            </w:r>
            <w:r>
              <w:rPr>
                <w:rFonts w:hint="eastAsia" w:ascii="宋体" w:hAnsi="宋体" w:cs="宋体"/>
                <w:color w:val="auto"/>
                <w:sz w:val="21"/>
                <w:szCs w:val="21"/>
                <w:lang w:val="en-US" w:eastAsia="zh-CN"/>
              </w:rPr>
              <w:t>保</w:t>
            </w:r>
            <w:r>
              <w:rPr>
                <w:rFonts w:hint="eastAsia" w:ascii="宋体" w:hAnsi="宋体" w:eastAsia="宋体" w:cs="宋体"/>
                <w:color w:val="auto"/>
                <w:sz w:val="21"/>
                <w:szCs w:val="21"/>
                <w:lang w:val="en-US" w:eastAsia="zh-CN"/>
              </w:rPr>
              <w:t>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袁定宇</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13896924313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平安</w:t>
            </w:r>
            <w:r>
              <w:rPr>
                <w:rFonts w:hint="eastAsia" w:ascii="宋体" w:hAnsi="宋体" w:cs="宋体"/>
                <w:color w:val="auto"/>
                <w:sz w:val="21"/>
                <w:szCs w:val="21"/>
                <w:lang w:val="en-US" w:eastAsia="zh-CN"/>
              </w:rPr>
              <w:t>建设</w:t>
            </w:r>
            <w:r>
              <w:rPr>
                <w:rFonts w:hint="eastAsia" w:ascii="宋体" w:hAnsi="宋体" w:eastAsia="宋体" w:cs="宋体"/>
                <w:color w:val="auto"/>
                <w:sz w:val="21"/>
                <w:szCs w:val="21"/>
                <w:lang w:val="en-US" w:eastAsia="zh-CN"/>
              </w:rPr>
              <w:t>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肖军</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13436227345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派出所</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赵瑞</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13983087266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自来水有限公司</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杜子培</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13896348938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cs="宋体"/>
                <w:i w:val="0"/>
                <w:iCs w:val="0"/>
                <w:color w:val="000000"/>
                <w:kern w:val="0"/>
                <w:sz w:val="22"/>
                <w:szCs w:val="22"/>
                <w:u w:val="none"/>
                <w:lang w:val="en-US" w:eastAsia="zh-CN" w:bidi="ar"/>
              </w:rPr>
              <w:t>子坪村村</w:t>
            </w:r>
            <w:r>
              <w:rPr>
                <w:rFonts w:hint="eastAsia" w:ascii="宋体" w:hAnsi="宋体" w:eastAsia="宋体" w:cs="宋体"/>
                <w:i w:val="0"/>
                <w:iCs w:val="0"/>
                <w:color w:val="000000"/>
                <w:kern w:val="0"/>
                <w:sz w:val="22"/>
                <w:szCs w:val="22"/>
                <w:u w:val="none"/>
                <w:lang w:val="en-US" w:eastAsia="zh-CN" w:bidi="ar"/>
              </w:rPr>
              <w:t>支书</w:t>
            </w:r>
          </w:p>
        </w:tc>
        <w:tc>
          <w:tcPr>
            <w:tcW w:w="1504" w:type="dxa"/>
            <w:noWrap w:val="0"/>
            <w:vAlign w:val="center"/>
          </w:tcPr>
          <w:p>
            <w:pPr>
              <w:keepNext w:val="0"/>
              <w:keepLines w:val="0"/>
              <w:widowControl/>
              <w:suppressLineNumbers w:val="0"/>
              <w:ind w:left="0" w:leftChars="0" w:right="0" w:rightChars="0"/>
              <w:jc w:val="center"/>
              <w:textAlignment w:val="center"/>
              <w:rPr>
                <w:rFonts w:hint="eastAsia" w:ascii="宋体" w:hAnsi="宋体" w:cs="宋体"/>
                <w:color w:val="auto"/>
                <w:sz w:val="21"/>
                <w:szCs w:val="21"/>
                <w:lang w:val="en-US" w:eastAsia="zh-CN"/>
              </w:rPr>
            </w:pPr>
            <w:r>
              <w:rPr>
                <w:rFonts w:hint="eastAsia" w:ascii="宋体" w:hAnsi="宋体" w:eastAsia="宋体" w:cs="宋体"/>
                <w:i w:val="0"/>
                <w:iCs w:val="0"/>
                <w:color w:val="000000"/>
                <w:kern w:val="0"/>
                <w:sz w:val="22"/>
                <w:szCs w:val="22"/>
                <w:u w:val="none"/>
                <w:lang w:val="en-US" w:eastAsia="zh-CN" w:bidi="ar"/>
              </w:rPr>
              <w:t>杜子培</w:t>
            </w:r>
          </w:p>
        </w:tc>
        <w:tc>
          <w:tcPr>
            <w:tcW w:w="2141" w:type="dxa"/>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i w:val="0"/>
                <w:iCs w:val="0"/>
                <w:color w:val="000000"/>
                <w:kern w:val="0"/>
                <w:sz w:val="22"/>
                <w:szCs w:val="22"/>
                <w:u w:val="none"/>
                <w:lang w:val="en-US" w:eastAsia="zh-CN" w:bidi="ar"/>
              </w:rPr>
              <w:t>13896348938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cs="宋体"/>
                <w:color w:val="auto"/>
                <w:sz w:val="21"/>
                <w:szCs w:val="21"/>
                <w:lang w:val="en-US" w:eastAsia="zh-CN"/>
              </w:rPr>
              <w:t>子坪村人员</w:t>
            </w:r>
          </w:p>
        </w:tc>
        <w:tc>
          <w:tcPr>
            <w:tcW w:w="1504" w:type="dxa"/>
            <w:noWrap w:val="0"/>
            <w:vAlign w:val="center"/>
          </w:tcPr>
          <w:p>
            <w:pPr>
              <w:keepNext w:val="0"/>
              <w:keepLines w:val="0"/>
              <w:widowControl/>
              <w:suppressLineNumbers w:val="0"/>
              <w:ind w:left="0" w:leftChars="0" w:right="0" w:rightChars="0"/>
              <w:jc w:val="center"/>
              <w:textAlignment w:val="center"/>
              <w:rPr>
                <w:rFonts w:hint="eastAsia" w:ascii="宋体" w:hAnsi="宋体" w:cs="宋体"/>
                <w:color w:val="auto"/>
                <w:sz w:val="21"/>
                <w:szCs w:val="21"/>
                <w:lang w:val="en-US" w:eastAsia="zh-CN"/>
              </w:rPr>
            </w:pPr>
            <w:r>
              <w:rPr>
                <w:rFonts w:hint="eastAsia" w:ascii="宋体" w:hAnsi="宋体" w:eastAsia="宋体" w:cs="宋体"/>
                <w:i w:val="0"/>
                <w:iCs w:val="0"/>
                <w:color w:val="000000"/>
                <w:kern w:val="0"/>
                <w:sz w:val="22"/>
                <w:szCs w:val="22"/>
                <w:u w:val="none"/>
                <w:lang w:val="en-US" w:eastAsia="zh-CN" w:bidi="ar"/>
              </w:rPr>
              <w:t>傅世玖</w:t>
            </w:r>
          </w:p>
        </w:tc>
        <w:tc>
          <w:tcPr>
            <w:tcW w:w="2141" w:type="dxa"/>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i w:val="0"/>
                <w:iCs w:val="0"/>
                <w:color w:val="000000"/>
                <w:kern w:val="0"/>
                <w:sz w:val="22"/>
                <w:szCs w:val="22"/>
                <w:u w:val="none"/>
                <w:lang w:val="en-US" w:eastAsia="zh-CN" w:bidi="ar"/>
              </w:rPr>
              <w:t>13452630828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cs="宋体"/>
                <w:color w:val="auto"/>
                <w:sz w:val="21"/>
                <w:szCs w:val="21"/>
                <w:lang w:val="en-US" w:eastAsia="zh-CN"/>
              </w:rPr>
              <w:t>子坪村人员</w:t>
            </w:r>
          </w:p>
        </w:tc>
        <w:tc>
          <w:tcPr>
            <w:tcW w:w="1504" w:type="dxa"/>
            <w:noWrap w:val="0"/>
            <w:vAlign w:val="center"/>
          </w:tcPr>
          <w:p>
            <w:pPr>
              <w:keepNext w:val="0"/>
              <w:keepLines w:val="0"/>
              <w:widowControl/>
              <w:suppressLineNumbers w:val="0"/>
              <w:ind w:left="0" w:leftChars="0" w:right="0" w:rightChars="0"/>
              <w:jc w:val="center"/>
              <w:textAlignment w:val="center"/>
              <w:rPr>
                <w:rFonts w:hint="eastAsia" w:ascii="宋体" w:hAnsi="宋体" w:cs="宋体"/>
                <w:color w:val="auto"/>
                <w:sz w:val="21"/>
                <w:szCs w:val="21"/>
                <w:lang w:val="en-US" w:eastAsia="zh-CN"/>
              </w:rPr>
            </w:pPr>
            <w:r>
              <w:rPr>
                <w:rFonts w:hint="eastAsia" w:ascii="宋体" w:hAnsi="宋体" w:eastAsia="宋体" w:cs="宋体"/>
                <w:i w:val="0"/>
                <w:iCs w:val="0"/>
                <w:color w:val="000000"/>
                <w:kern w:val="0"/>
                <w:sz w:val="22"/>
                <w:szCs w:val="22"/>
                <w:u w:val="none"/>
                <w:lang w:val="en-US" w:eastAsia="zh-CN" w:bidi="ar"/>
              </w:rPr>
              <w:t>杜子英</w:t>
            </w:r>
          </w:p>
        </w:tc>
        <w:tc>
          <w:tcPr>
            <w:tcW w:w="2141" w:type="dxa"/>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i w:val="0"/>
                <w:iCs w:val="0"/>
                <w:color w:val="000000"/>
                <w:kern w:val="0"/>
                <w:sz w:val="22"/>
                <w:szCs w:val="22"/>
                <w:u w:val="none"/>
                <w:lang w:val="en-US" w:eastAsia="zh-CN" w:bidi="ar"/>
              </w:rPr>
              <w:t>15310719359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restart"/>
            <w:noWrap w:val="0"/>
            <w:vAlign w:val="center"/>
          </w:tcPr>
          <w:p>
            <w:pPr>
              <w:pageBreakBefore w:val="0"/>
              <w:widowControl w:val="0"/>
              <w:kinsoku/>
              <w:wordWrap/>
              <w:overflowPunct/>
              <w:topLinePunct w:val="0"/>
              <w:bidi w:val="0"/>
              <w:adjustRightInd w:val="0"/>
              <w:snapToGrid w:val="0"/>
              <w:spacing w:line="360" w:lineRule="auto"/>
              <w:ind w:left="0" w:leftChars="0"/>
              <w:jc w:val="center"/>
              <w:textAlignment w:val="auto"/>
              <w:rPr>
                <w:rFonts w:hint="eastAsia" w:ascii="宋体" w:hAnsi="宋体" w:eastAsia="宋体" w:cs="宋体"/>
                <w:color w:val="auto"/>
                <w:sz w:val="21"/>
                <w:szCs w:val="21"/>
              </w:rPr>
            </w:pPr>
            <w:r>
              <w:rPr>
                <w:rFonts w:ascii="Times New Roman" w:hAnsi="Times New Roman"/>
                <w:sz w:val="21"/>
                <w:szCs w:val="21"/>
              </w:rPr>
              <w:t>综合协调组</w:t>
            </w: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组长</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副镇长</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倪全章</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15826309208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成员</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党政办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向宇</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13594685337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人居环境服务中心</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袁永健</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15025552511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执法办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余建民</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13609452956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农业服务中心</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谭克俭</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13635392886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restart"/>
            <w:noWrap w:val="0"/>
            <w:vAlign w:val="center"/>
          </w:tcPr>
          <w:p>
            <w:pPr>
              <w:pageBreakBefore w:val="0"/>
              <w:widowControl w:val="0"/>
              <w:kinsoku/>
              <w:wordWrap/>
              <w:overflowPunct/>
              <w:topLinePunct w:val="0"/>
              <w:bidi w:val="0"/>
              <w:adjustRightInd w:val="0"/>
              <w:snapToGrid w:val="0"/>
              <w:spacing w:line="360" w:lineRule="auto"/>
              <w:ind w:left="0" w:leftChars="0"/>
              <w:jc w:val="center"/>
              <w:textAlignment w:val="auto"/>
              <w:rPr>
                <w:rFonts w:hint="eastAsia" w:ascii="宋体" w:hAnsi="宋体" w:eastAsia="宋体" w:cs="宋体"/>
                <w:color w:val="auto"/>
                <w:sz w:val="21"/>
                <w:szCs w:val="21"/>
              </w:rPr>
            </w:pPr>
            <w:r>
              <w:rPr>
                <w:rFonts w:ascii="Times New Roman" w:hAnsi="Times New Roman"/>
                <w:sz w:val="21"/>
                <w:szCs w:val="21"/>
              </w:rPr>
              <w:t>应急保障组</w:t>
            </w: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组长</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副镇长</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扈超岚</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13452703939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成员</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财政办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李书军</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13896376663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社</w:t>
            </w:r>
            <w:r>
              <w:rPr>
                <w:rFonts w:hint="eastAsia" w:ascii="宋体" w:hAnsi="宋体" w:cs="宋体"/>
                <w:color w:val="auto"/>
                <w:sz w:val="21"/>
                <w:szCs w:val="21"/>
                <w:lang w:val="en-US" w:eastAsia="zh-CN"/>
              </w:rPr>
              <w:t>会事务</w:t>
            </w:r>
            <w:r>
              <w:rPr>
                <w:rFonts w:hint="eastAsia" w:ascii="宋体" w:hAnsi="宋体" w:eastAsia="宋体" w:cs="宋体"/>
                <w:color w:val="auto"/>
                <w:sz w:val="21"/>
                <w:szCs w:val="21"/>
                <w:lang w:val="en-US" w:eastAsia="zh-CN"/>
              </w:rPr>
              <w:t>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朱祥</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13996583538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卫生院</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黄文</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13896362555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供电所</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王伟</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15923441677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restart"/>
            <w:noWrap w:val="0"/>
            <w:vAlign w:val="center"/>
          </w:tcPr>
          <w:p>
            <w:pPr>
              <w:pageBreakBefore w:val="0"/>
              <w:widowControl w:val="0"/>
              <w:kinsoku/>
              <w:wordWrap/>
              <w:overflowPunct/>
              <w:topLinePunct w:val="0"/>
              <w:bidi w:val="0"/>
              <w:adjustRightInd w:val="0"/>
              <w:snapToGrid w:val="0"/>
              <w:spacing w:line="360" w:lineRule="auto"/>
              <w:ind w:left="0" w:leftChars="0"/>
              <w:jc w:val="center"/>
              <w:textAlignment w:val="auto"/>
              <w:rPr>
                <w:rFonts w:hint="eastAsia" w:ascii="宋体" w:hAnsi="宋体" w:eastAsia="宋体" w:cs="宋体"/>
                <w:color w:val="auto"/>
                <w:sz w:val="21"/>
                <w:szCs w:val="21"/>
              </w:rPr>
            </w:pPr>
            <w:r>
              <w:rPr>
                <w:rFonts w:ascii="Times New Roman" w:hAnsi="Times New Roman"/>
                <w:sz w:val="21"/>
                <w:szCs w:val="21"/>
              </w:rPr>
              <w:t>应急监测组</w:t>
            </w: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组长</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副镇长</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王勇</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13896933470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成员</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水利服务中心</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杨树林</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18523399989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成员</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人居环境服务中心</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袁春生</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13896327792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成员</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规划建设管理</w:t>
            </w:r>
            <w:r>
              <w:rPr>
                <w:rFonts w:hint="eastAsia" w:ascii="宋体" w:hAnsi="宋体" w:eastAsia="宋体" w:cs="宋体"/>
                <w:color w:val="auto"/>
                <w:sz w:val="21"/>
                <w:szCs w:val="21"/>
                <w:lang w:val="en-US" w:eastAsia="zh-CN"/>
              </w:rPr>
              <w:t>环</w:t>
            </w:r>
            <w:r>
              <w:rPr>
                <w:rFonts w:hint="eastAsia" w:ascii="宋体" w:hAnsi="宋体" w:cs="宋体"/>
                <w:color w:val="auto"/>
                <w:sz w:val="21"/>
                <w:szCs w:val="21"/>
                <w:lang w:val="en-US" w:eastAsia="zh-CN"/>
              </w:rPr>
              <w:t>保</w:t>
            </w:r>
            <w:r>
              <w:rPr>
                <w:rFonts w:hint="eastAsia" w:ascii="宋体" w:hAnsi="宋体" w:eastAsia="宋体" w:cs="宋体"/>
                <w:color w:val="auto"/>
                <w:sz w:val="21"/>
                <w:szCs w:val="21"/>
                <w:lang w:val="en-US" w:eastAsia="zh-CN"/>
              </w:rPr>
              <w:t>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张波</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15730655468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260"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ascii="Times New Roman" w:hAnsi="Times New Roman"/>
                <w:sz w:val="21"/>
                <w:szCs w:val="21"/>
              </w:rPr>
              <w:t>应急</w:t>
            </w:r>
            <w:r>
              <w:rPr>
                <w:rFonts w:hint="eastAsia" w:ascii="Times New Roman" w:hAnsi="Times New Roman"/>
                <w:sz w:val="21"/>
                <w:szCs w:val="21"/>
                <w:lang w:eastAsia="zh-CN"/>
              </w:rPr>
              <w:t>办公室</w:t>
            </w: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主任</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cs="宋体"/>
                <w:color w:val="auto"/>
                <w:sz w:val="21"/>
                <w:szCs w:val="21"/>
                <w:lang w:val="en-US" w:eastAsia="zh-CN"/>
              </w:rPr>
            </w:pPr>
            <w:r>
              <w:rPr>
                <w:rFonts w:ascii="Times New Roman" w:hAnsi="Times New Roman"/>
                <w:sz w:val="21"/>
                <w:szCs w:val="21"/>
              </w:rPr>
              <w:t>应急</w:t>
            </w:r>
            <w:r>
              <w:rPr>
                <w:rFonts w:hint="eastAsia" w:ascii="Times New Roman" w:hAnsi="Times New Roman"/>
                <w:sz w:val="21"/>
                <w:szCs w:val="21"/>
                <w:lang w:eastAsia="zh-CN"/>
              </w:rPr>
              <w:t>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余永春</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52740000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成员</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cs="宋体"/>
                <w:color w:val="auto"/>
                <w:sz w:val="21"/>
                <w:szCs w:val="21"/>
                <w:lang w:val="en-US" w:eastAsia="zh-CN"/>
              </w:rPr>
            </w:pPr>
            <w:r>
              <w:rPr>
                <w:rFonts w:hint="eastAsia" w:ascii="宋体" w:hAnsi="宋体" w:eastAsia="宋体" w:cs="宋体"/>
                <w:color w:val="auto"/>
                <w:sz w:val="21"/>
                <w:szCs w:val="21"/>
                <w:lang w:val="en-US" w:eastAsia="zh-CN"/>
              </w:rPr>
              <w:t>党政办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向宇</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52740000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260"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成员</w:t>
            </w:r>
          </w:p>
        </w:tc>
        <w:tc>
          <w:tcPr>
            <w:tcW w:w="2370"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党政办</w:t>
            </w:r>
          </w:p>
        </w:tc>
        <w:tc>
          <w:tcPr>
            <w:tcW w:w="1504"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谭威</w:t>
            </w:r>
          </w:p>
        </w:tc>
        <w:tc>
          <w:tcPr>
            <w:tcW w:w="214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default" w:ascii="宋体" w:hAnsi="宋体" w:cs="宋体"/>
                <w:color w:val="auto"/>
                <w:sz w:val="21"/>
                <w:szCs w:val="21"/>
                <w:lang w:val="en-US" w:eastAsia="zh-CN"/>
              </w:rPr>
            </w:pPr>
            <w:r>
              <w:rPr>
                <w:rFonts w:hint="eastAsia" w:ascii="宋体" w:hAnsi="宋体" w:cs="宋体"/>
                <w:color w:val="auto"/>
                <w:sz w:val="21"/>
                <w:szCs w:val="21"/>
                <w:lang w:val="en-US" w:eastAsia="zh-CN"/>
              </w:rPr>
              <w:t>52740000</w:t>
            </w:r>
          </w:p>
        </w:tc>
      </w:tr>
    </w:tbl>
    <w:p>
      <w:pPr>
        <w:rPr>
          <w:rFonts w:hint="eastAsia" w:asciiTheme="minorEastAsia" w:hAnsiTheme="minorEastAsia" w:eastAsiaTheme="minorEastAsia" w:cstheme="minorEastAsia"/>
          <w:b/>
          <w:bCs/>
          <w:color w:val="FF0000"/>
          <w:sz w:val="28"/>
          <w:szCs w:val="28"/>
          <w:lang w:val="en-US" w:eastAsia="zh-CN"/>
        </w:rPr>
      </w:pPr>
      <w:r>
        <w:rPr>
          <w:rFonts w:hint="eastAsia" w:asciiTheme="minorEastAsia" w:hAnsiTheme="minorEastAsia" w:eastAsiaTheme="minorEastAsia" w:cstheme="minorEastAsia"/>
          <w:b/>
          <w:bCs/>
          <w:color w:val="FF0000"/>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附件三：外部救援机构联系电话</w:t>
      </w:r>
      <w:bookmarkEnd w:id="79"/>
    </w:p>
    <w:tbl>
      <w:tblPr>
        <w:tblStyle w:val="14"/>
        <w:tblW w:w="891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1995"/>
        <w:gridCol w:w="2273"/>
        <w:gridCol w:w="22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部门单位</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联系方式</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传真</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开州区人民政府</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023-52255600</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开州区公安局</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023-52124110</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开州区应急管理局</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023-52999332</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023-52288020</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开州区生态环境局</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023-52116111</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023-52218800</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开州区水利局</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023-52222196</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023-85926000</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开州区城市管理局</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023-52688003</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中和镇人民政府</w:t>
            </w:r>
          </w:p>
        </w:tc>
        <w:tc>
          <w:tcPr>
            <w:tcW w:w="1995"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023-52740000</w:t>
            </w: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default" w:asciiTheme="minorEastAsia" w:hAnsiTheme="minorEastAsia" w:eastAsiaTheme="minorEastAsia" w:cstheme="minorEastAsia"/>
                <w:color w:val="auto"/>
                <w:sz w:val="21"/>
                <w:szCs w:val="21"/>
                <w:lang w:val="en-US" w:eastAsia="zh-CN"/>
              </w:rPr>
            </w:pPr>
            <w:r>
              <w:rPr>
                <w:rFonts w:hint="eastAsia" w:ascii="宋体" w:hAnsi="宋体" w:cs="宋体"/>
                <w:color w:val="auto"/>
                <w:sz w:val="21"/>
                <w:szCs w:val="21"/>
                <w:lang w:val="en-US" w:eastAsia="zh-CN"/>
              </w:rPr>
              <w:t>杜子培</w:t>
            </w:r>
          </w:p>
        </w:tc>
        <w:tc>
          <w:tcPr>
            <w:tcW w:w="1995"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宋体" w:hAnsi="宋体" w:eastAsia="宋体" w:cs="宋体"/>
                <w:color w:val="auto"/>
                <w:sz w:val="21"/>
                <w:szCs w:val="21"/>
                <w:lang w:val="en-US" w:eastAsia="zh-CN"/>
              </w:rPr>
              <w:t>13896348938</w:t>
            </w: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cs="宋体"/>
                <w:color w:val="auto"/>
                <w:sz w:val="21"/>
                <w:szCs w:val="21"/>
                <w:lang w:val="en-US" w:eastAsia="zh-CN"/>
              </w:rPr>
              <w:t>水厂管理员</w:t>
            </w:r>
          </w:p>
        </w:tc>
      </w:tr>
    </w:tbl>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en-US" w:eastAsia="zh-CN"/>
        </w:rPr>
      </w:pPr>
      <w:r>
        <w:rPr>
          <w:rFonts w:hint="eastAsia" w:asciiTheme="minorEastAsia" w:hAnsiTheme="minorEastAsia" w:eastAsiaTheme="minorEastAsia" w:cstheme="minorEastAsia"/>
          <w:color w:val="FF0000"/>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eastAsia="zh-CN"/>
        </w:rPr>
      </w:pPr>
      <w:bookmarkStart w:id="80" w:name="_Toc8102_WPSOffice_Level1"/>
      <w:bookmarkStart w:id="81" w:name="_Toc12136"/>
      <w:bookmarkStart w:id="82" w:name="_Toc28802_WPSOffice_Level1"/>
      <w:bookmarkStart w:id="83" w:name="_Toc23327_WPSOffice_Level1"/>
      <w:bookmarkStart w:id="84" w:name="_Toc1600_WPSOffice_Level1"/>
      <w:bookmarkStart w:id="85" w:name="_Toc14510_WPSOffice_Level1"/>
      <w:bookmarkStart w:id="86" w:name="_Toc1225_WPSOffice_Level1"/>
      <w:bookmarkStart w:id="87" w:name="_Toc26146"/>
      <w:bookmarkStart w:id="88" w:name="_Toc9362"/>
      <w:r>
        <w:rPr>
          <w:rFonts w:hint="eastAsia" w:asciiTheme="minorEastAsia" w:hAnsiTheme="minorEastAsia" w:eastAsiaTheme="minorEastAsia" w:cstheme="minorEastAsia"/>
          <w:b/>
          <w:bCs/>
          <w:color w:val="auto"/>
          <w:sz w:val="28"/>
          <w:szCs w:val="28"/>
          <w:lang w:val="zh-CN" w:eastAsia="zh-CN"/>
        </w:rPr>
        <w:t>附件</w:t>
      </w:r>
      <w:r>
        <w:rPr>
          <w:rFonts w:hint="eastAsia" w:asciiTheme="minorEastAsia" w:hAnsiTheme="minorEastAsia" w:eastAsiaTheme="minorEastAsia" w:cstheme="minorEastAsia"/>
          <w:b/>
          <w:bCs/>
          <w:color w:val="auto"/>
          <w:sz w:val="28"/>
          <w:szCs w:val="28"/>
          <w:lang w:val="en-US" w:eastAsia="zh-CN"/>
        </w:rPr>
        <w:t>四：</w:t>
      </w:r>
      <w:r>
        <w:rPr>
          <w:rFonts w:hint="eastAsia" w:asciiTheme="minorEastAsia" w:hAnsiTheme="minorEastAsia" w:eastAsiaTheme="minorEastAsia" w:cstheme="minorEastAsia"/>
          <w:b/>
          <w:bCs/>
          <w:color w:val="auto"/>
          <w:sz w:val="28"/>
          <w:szCs w:val="28"/>
          <w:lang w:val="zh-CN" w:eastAsia="zh-CN"/>
        </w:rPr>
        <w:t>应急救援物资一览表</w:t>
      </w:r>
      <w:bookmarkEnd w:id="80"/>
      <w:bookmarkEnd w:id="81"/>
      <w:bookmarkEnd w:id="82"/>
      <w:bookmarkEnd w:id="83"/>
      <w:bookmarkEnd w:id="84"/>
      <w:bookmarkEnd w:id="85"/>
      <w:bookmarkEnd w:id="86"/>
      <w:bookmarkEnd w:id="87"/>
      <w:bookmarkEnd w:id="88"/>
    </w:p>
    <w:tbl>
      <w:tblPr>
        <w:tblStyle w:val="1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6"/>
        <w:gridCol w:w="1416"/>
        <w:gridCol w:w="1417"/>
        <w:gridCol w:w="1634"/>
        <w:gridCol w:w="1199"/>
        <w:gridCol w:w="1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vertAlign w:val="baseline"/>
                <w:lang w:val="en-US" w:eastAsia="zh-CN" w:bidi="zh-CN"/>
              </w:rPr>
            </w:pPr>
            <w:r>
              <w:rPr>
                <w:rFonts w:hint="eastAsia" w:ascii="宋体" w:hAnsi="宋体" w:eastAsia="宋体" w:cs="宋体"/>
                <w:color w:val="auto"/>
                <w:sz w:val="21"/>
                <w:szCs w:val="21"/>
              </w:rPr>
              <w:t>序号</w:t>
            </w:r>
          </w:p>
        </w:tc>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vertAlign w:val="baseline"/>
                <w:lang w:val="en-US" w:eastAsia="zh-CN" w:bidi="zh-CN"/>
              </w:rPr>
            </w:pPr>
            <w:r>
              <w:rPr>
                <w:rFonts w:hint="eastAsia" w:ascii="宋体" w:hAnsi="宋体" w:eastAsia="宋体" w:cs="宋体"/>
                <w:color w:val="auto"/>
                <w:sz w:val="21"/>
                <w:szCs w:val="21"/>
              </w:rPr>
              <w:t>名称</w:t>
            </w:r>
          </w:p>
        </w:tc>
        <w:tc>
          <w:tcPr>
            <w:tcW w:w="1417"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pacing w:val="-5"/>
                <w:sz w:val="21"/>
                <w:szCs w:val="21"/>
                <w:lang w:val="en-US" w:eastAsia="zh-CN" w:bidi="zh-CN"/>
              </w:rPr>
            </w:pPr>
            <w:r>
              <w:rPr>
                <w:rFonts w:hint="eastAsia" w:ascii="宋体" w:hAnsi="宋体" w:eastAsia="宋体" w:cs="宋体"/>
                <w:color w:val="auto"/>
                <w:spacing w:val="-5"/>
                <w:sz w:val="21"/>
                <w:szCs w:val="21"/>
              </w:rPr>
              <w:t>数量（套/张/个）</w:t>
            </w:r>
          </w:p>
        </w:tc>
        <w:tc>
          <w:tcPr>
            <w:tcW w:w="1634"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pacing w:val="-5"/>
                <w:sz w:val="21"/>
                <w:szCs w:val="21"/>
                <w:lang w:val="en-US" w:eastAsia="zh-CN" w:bidi="zh-CN"/>
              </w:rPr>
            </w:pPr>
            <w:r>
              <w:rPr>
                <w:rFonts w:hint="eastAsia" w:ascii="宋体" w:hAnsi="宋体" w:eastAsia="宋体" w:cs="宋体"/>
                <w:color w:val="auto"/>
                <w:spacing w:val="-5"/>
                <w:sz w:val="21"/>
                <w:szCs w:val="21"/>
                <w:lang w:val="en-US" w:eastAsia="zh-CN"/>
              </w:rPr>
              <w:t>存储地点</w:t>
            </w:r>
          </w:p>
        </w:tc>
        <w:tc>
          <w:tcPr>
            <w:tcW w:w="1199"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pacing w:val="-5"/>
                <w:sz w:val="21"/>
                <w:szCs w:val="21"/>
                <w:lang w:val="en-US" w:eastAsia="zh-CN" w:bidi="zh-CN"/>
              </w:rPr>
            </w:pPr>
            <w:r>
              <w:rPr>
                <w:rFonts w:hint="eastAsia" w:ascii="宋体" w:hAnsi="宋体" w:eastAsia="宋体" w:cs="宋体"/>
                <w:color w:val="auto"/>
                <w:spacing w:val="-5"/>
                <w:sz w:val="21"/>
                <w:szCs w:val="21"/>
                <w:lang w:val="en-US" w:eastAsia="zh-CN"/>
              </w:rPr>
              <w:t>责任人</w:t>
            </w:r>
          </w:p>
        </w:tc>
        <w:tc>
          <w:tcPr>
            <w:tcW w:w="1422"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pacing w:val="-5"/>
                <w:sz w:val="21"/>
                <w:szCs w:val="21"/>
                <w:lang w:val="en-US" w:eastAsia="zh-CN" w:bidi="zh-CN"/>
              </w:rPr>
            </w:pPr>
            <w:r>
              <w:rPr>
                <w:rFonts w:hint="eastAsia" w:ascii="宋体" w:hAnsi="宋体" w:eastAsia="宋体" w:cs="宋体"/>
                <w:color w:val="auto"/>
                <w:spacing w:val="-5"/>
                <w:sz w:val="21"/>
                <w:szCs w:val="21"/>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1</w:t>
            </w:r>
          </w:p>
        </w:tc>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救生圈</w:t>
            </w:r>
          </w:p>
        </w:tc>
        <w:tc>
          <w:tcPr>
            <w:tcW w:w="1417"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30个</w:t>
            </w:r>
          </w:p>
        </w:tc>
        <w:tc>
          <w:tcPr>
            <w:tcW w:w="1634"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cs="宋体"/>
                <w:color w:val="auto"/>
                <w:sz w:val="21"/>
                <w:szCs w:val="21"/>
                <w:lang w:val="en-US" w:eastAsia="zh-CN"/>
              </w:rPr>
              <w:t>水利服务中心</w:t>
            </w:r>
          </w:p>
        </w:tc>
        <w:tc>
          <w:tcPr>
            <w:tcW w:w="1199"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王晓林</w:t>
            </w:r>
          </w:p>
        </w:tc>
        <w:tc>
          <w:tcPr>
            <w:tcW w:w="1422" w:type="dxa"/>
            <w:vAlign w:val="center"/>
          </w:tcPr>
          <w:p>
            <w:pPr>
              <w:autoSpaceDE w:val="0"/>
              <w:autoSpaceDN w:val="0"/>
              <w:ind w:left="0" w:leftChars="0" w:right="0" w:rightChars="0"/>
              <w:jc w:val="center"/>
              <w:rPr>
                <w:rFonts w:hint="default" w:ascii="宋体" w:hAnsi="宋体" w:eastAsia="宋体" w:cs="宋体"/>
                <w:color w:val="auto"/>
                <w:kern w:val="0"/>
                <w:sz w:val="21"/>
                <w:szCs w:val="21"/>
                <w:lang w:val="en-US" w:eastAsia="zh-CN" w:bidi="zh-CN"/>
              </w:rPr>
            </w:pPr>
            <w:r>
              <w:rPr>
                <w:rFonts w:hint="eastAsia" w:ascii="宋体" w:hAnsi="宋体" w:eastAsia="宋体" w:cs="宋体"/>
                <w:color w:val="auto"/>
                <w:sz w:val="21"/>
                <w:szCs w:val="21"/>
                <w:lang w:val="en-US" w:eastAsia="zh-CN"/>
              </w:rPr>
              <w:t>15215238066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2</w:t>
            </w:r>
          </w:p>
        </w:tc>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救生衣</w:t>
            </w:r>
          </w:p>
        </w:tc>
        <w:tc>
          <w:tcPr>
            <w:tcW w:w="1417"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30件</w:t>
            </w:r>
          </w:p>
        </w:tc>
        <w:tc>
          <w:tcPr>
            <w:tcW w:w="1634" w:type="dxa"/>
            <w:vAlign w:val="center"/>
          </w:tcPr>
          <w:p>
            <w:pPr>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cs="宋体"/>
                <w:color w:val="auto"/>
                <w:sz w:val="21"/>
                <w:szCs w:val="21"/>
                <w:lang w:val="en-US" w:eastAsia="zh-CN"/>
              </w:rPr>
              <w:t>水利服务中心</w:t>
            </w:r>
          </w:p>
        </w:tc>
        <w:tc>
          <w:tcPr>
            <w:tcW w:w="1199"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王晓林</w:t>
            </w:r>
          </w:p>
        </w:tc>
        <w:tc>
          <w:tcPr>
            <w:tcW w:w="1422" w:type="dxa"/>
            <w:vAlign w:val="center"/>
          </w:tcPr>
          <w:p>
            <w:pPr>
              <w:autoSpaceDE w:val="0"/>
              <w:autoSpaceDN w:val="0"/>
              <w:ind w:left="0" w:leftChars="0" w:right="0" w:rightChars="0"/>
              <w:jc w:val="center"/>
              <w:rPr>
                <w:rFonts w:hint="default"/>
                <w:color w:val="auto"/>
                <w:sz w:val="21"/>
                <w:szCs w:val="21"/>
                <w:vertAlign w:val="baseline"/>
                <w:lang w:val="en-US" w:eastAsia="zh-CN"/>
              </w:rPr>
            </w:pPr>
            <w:r>
              <w:rPr>
                <w:rFonts w:hint="eastAsia" w:ascii="宋体" w:hAnsi="宋体" w:eastAsia="宋体" w:cs="宋体"/>
                <w:color w:val="auto"/>
                <w:sz w:val="21"/>
                <w:szCs w:val="21"/>
                <w:lang w:val="en-US" w:eastAsia="zh-CN"/>
              </w:rPr>
              <w:t>15215238066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3</w:t>
            </w:r>
          </w:p>
        </w:tc>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抛物绳</w:t>
            </w:r>
          </w:p>
        </w:tc>
        <w:tc>
          <w:tcPr>
            <w:tcW w:w="1417"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4根</w:t>
            </w:r>
          </w:p>
        </w:tc>
        <w:tc>
          <w:tcPr>
            <w:tcW w:w="1634" w:type="dxa"/>
            <w:vAlign w:val="center"/>
          </w:tcPr>
          <w:p>
            <w:pPr>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sz w:val="21"/>
                <w:szCs w:val="21"/>
                <w:vertAlign w:val="baseline"/>
                <w:lang w:val="en-US" w:eastAsia="zh-CN"/>
              </w:rPr>
            </w:pPr>
            <w:r>
              <w:rPr>
                <w:rFonts w:hint="eastAsia" w:cs="宋体"/>
                <w:color w:val="auto"/>
                <w:sz w:val="21"/>
                <w:szCs w:val="21"/>
                <w:lang w:val="en-US" w:eastAsia="zh-CN"/>
              </w:rPr>
              <w:t>水利服务中心</w:t>
            </w:r>
          </w:p>
        </w:tc>
        <w:tc>
          <w:tcPr>
            <w:tcW w:w="1199"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王晓林</w:t>
            </w:r>
          </w:p>
        </w:tc>
        <w:tc>
          <w:tcPr>
            <w:tcW w:w="1422" w:type="dxa"/>
            <w:vAlign w:val="center"/>
          </w:tcPr>
          <w:p>
            <w:pPr>
              <w:autoSpaceDE w:val="0"/>
              <w:autoSpaceDN w:val="0"/>
              <w:ind w:left="0" w:leftChars="0" w:right="0" w:rightChars="0"/>
              <w:jc w:val="center"/>
              <w:rPr>
                <w:rFonts w:hint="default"/>
                <w:color w:val="auto"/>
                <w:sz w:val="21"/>
                <w:szCs w:val="21"/>
                <w:vertAlign w:val="baseline"/>
                <w:lang w:val="en-US" w:eastAsia="zh-CN"/>
              </w:rPr>
            </w:pPr>
            <w:r>
              <w:rPr>
                <w:rFonts w:hint="eastAsia" w:ascii="宋体" w:hAnsi="宋体" w:eastAsia="宋体" w:cs="宋体"/>
                <w:color w:val="auto"/>
                <w:sz w:val="21"/>
                <w:szCs w:val="21"/>
                <w:lang w:val="en-US" w:eastAsia="zh-CN"/>
              </w:rPr>
              <w:t>15215238066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4</w:t>
            </w:r>
          </w:p>
        </w:tc>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雨衣</w:t>
            </w:r>
          </w:p>
        </w:tc>
        <w:tc>
          <w:tcPr>
            <w:tcW w:w="1417"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20件</w:t>
            </w:r>
          </w:p>
        </w:tc>
        <w:tc>
          <w:tcPr>
            <w:tcW w:w="1634" w:type="dxa"/>
            <w:vAlign w:val="center"/>
          </w:tcPr>
          <w:p>
            <w:pPr>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sz w:val="21"/>
                <w:szCs w:val="21"/>
                <w:vertAlign w:val="baseline"/>
                <w:lang w:val="en-US" w:eastAsia="zh-CN"/>
              </w:rPr>
            </w:pPr>
            <w:r>
              <w:rPr>
                <w:rFonts w:hint="eastAsia" w:cs="宋体"/>
                <w:color w:val="auto"/>
                <w:sz w:val="21"/>
                <w:szCs w:val="21"/>
                <w:lang w:val="en-US" w:eastAsia="zh-CN"/>
              </w:rPr>
              <w:t>水利服务中心</w:t>
            </w:r>
          </w:p>
        </w:tc>
        <w:tc>
          <w:tcPr>
            <w:tcW w:w="1199"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王晓林</w:t>
            </w:r>
          </w:p>
        </w:tc>
        <w:tc>
          <w:tcPr>
            <w:tcW w:w="1422" w:type="dxa"/>
            <w:vAlign w:val="center"/>
          </w:tcPr>
          <w:p>
            <w:pPr>
              <w:autoSpaceDE w:val="0"/>
              <w:autoSpaceDN w:val="0"/>
              <w:ind w:left="0" w:leftChars="0" w:right="0" w:rightChars="0"/>
              <w:jc w:val="center"/>
              <w:rPr>
                <w:rFonts w:hint="default"/>
                <w:color w:val="auto"/>
                <w:sz w:val="21"/>
                <w:szCs w:val="21"/>
                <w:vertAlign w:val="baseline"/>
                <w:lang w:val="en-US" w:eastAsia="zh-CN"/>
              </w:rPr>
            </w:pPr>
            <w:r>
              <w:rPr>
                <w:rFonts w:hint="eastAsia" w:ascii="宋体" w:hAnsi="宋体" w:eastAsia="宋体" w:cs="宋体"/>
                <w:color w:val="auto"/>
                <w:sz w:val="21"/>
                <w:szCs w:val="21"/>
                <w:lang w:val="en-US" w:eastAsia="zh-CN"/>
              </w:rPr>
              <w:t>15215238066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5</w:t>
            </w:r>
          </w:p>
        </w:tc>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冲锋舟</w:t>
            </w:r>
          </w:p>
        </w:tc>
        <w:tc>
          <w:tcPr>
            <w:tcW w:w="1417"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1只</w:t>
            </w:r>
          </w:p>
        </w:tc>
        <w:tc>
          <w:tcPr>
            <w:tcW w:w="1634" w:type="dxa"/>
            <w:vAlign w:val="center"/>
          </w:tcPr>
          <w:p>
            <w:pPr>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sz w:val="21"/>
                <w:szCs w:val="21"/>
                <w:vertAlign w:val="baseline"/>
                <w:lang w:val="en-US" w:eastAsia="zh-CN"/>
              </w:rPr>
            </w:pPr>
            <w:r>
              <w:rPr>
                <w:rFonts w:hint="eastAsia" w:cs="宋体"/>
                <w:color w:val="auto"/>
                <w:sz w:val="21"/>
                <w:szCs w:val="21"/>
                <w:lang w:val="en-US" w:eastAsia="zh-CN"/>
              </w:rPr>
              <w:t>水利服务中心</w:t>
            </w:r>
          </w:p>
        </w:tc>
        <w:tc>
          <w:tcPr>
            <w:tcW w:w="1199"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王晓林</w:t>
            </w:r>
          </w:p>
        </w:tc>
        <w:tc>
          <w:tcPr>
            <w:tcW w:w="1422" w:type="dxa"/>
            <w:vAlign w:val="center"/>
          </w:tcPr>
          <w:p>
            <w:pPr>
              <w:autoSpaceDE w:val="0"/>
              <w:autoSpaceDN w:val="0"/>
              <w:ind w:left="0" w:leftChars="0" w:right="0" w:rightChars="0"/>
              <w:jc w:val="center"/>
              <w:rPr>
                <w:rFonts w:hint="default"/>
                <w:color w:val="auto"/>
                <w:sz w:val="21"/>
                <w:szCs w:val="21"/>
                <w:vertAlign w:val="baseline"/>
                <w:lang w:val="en-US" w:eastAsia="zh-CN"/>
              </w:rPr>
            </w:pPr>
            <w:r>
              <w:rPr>
                <w:rFonts w:hint="eastAsia" w:ascii="宋体" w:hAnsi="宋体" w:eastAsia="宋体" w:cs="宋体"/>
                <w:color w:val="auto"/>
                <w:sz w:val="21"/>
                <w:szCs w:val="21"/>
                <w:lang w:val="en-US" w:eastAsia="zh-CN"/>
              </w:rPr>
              <w:t>15215238066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6</w:t>
            </w:r>
          </w:p>
        </w:tc>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应急车</w:t>
            </w:r>
          </w:p>
        </w:tc>
        <w:tc>
          <w:tcPr>
            <w:tcW w:w="1417"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1辆</w:t>
            </w:r>
          </w:p>
        </w:tc>
        <w:tc>
          <w:tcPr>
            <w:tcW w:w="1634"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中和镇镇政府</w:t>
            </w:r>
          </w:p>
        </w:tc>
        <w:tc>
          <w:tcPr>
            <w:tcW w:w="1199"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余永春</w:t>
            </w:r>
          </w:p>
        </w:tc>
        <w:tc>
          <w:tcPr>
            <w:tcW w:w="1422" w:type="dxa"/>
            <w:vAlign w:val="center"/>
          </w:tcPr>
          <w:p>
            <w:pPr>
              <w:autoSpaceDE w:val="0"/>
              <w:autoSpaceDN w:val="0"/>
              <w:ind w:left="0" w:leftChars="0" w:right="0" w:rightChars="0"/>
              <w:jc w:val="center"/>
              <w:rPr>
                <w:rFonts w:hint="default"/>
                <w:color w:val="auto"/>
                <w:sz w:val="21"/>
                <w:szCs w:val="21"/>
                <w:vertAlign w:val="baseline"/>
                <w:lang w:val="en-US" w:eastAsia="zh-CN"/>
              </w:rPr>
            </w:pPr>
            <w:r>
              <w:rPr>
                <w:rFonts w:hint="eastAsia" w:ascii="宋体" w:hAnsi="宋体" w:eastAsia="宋体" w:cs="宋体"/>
                <w:color w:val="auto"/>
                <w:sz w:val="21"/>
                <w:szCs w:val="21"/>
                <w:lang w:val="en-US" w:eastAsia="zh-CN"/>
              </w:rPr>
              <w:t>13896365778</w:t>
            </w:r>
          </w:p>
        </w:tc>
      </w:tr>
    </w:tbl>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zh-CN"/>
        </w:rPr>
        <w:sectPr>
          <w:headerReference r:id="rId11" w:type="default"/>
          <w:footerReference r:id="rId12" w:type="default"/>
          <w:pgSz w:w="11906" w:h="16838"/>
          <w:pgMar w:top="1440" w:right="1800" w:bottom="1440" w:left="1800" w:header="851" w:footer="992" w:gutter="0"/>
          <w:pgNumType w:fmt="decimal"/>
          <w:cols w:space="425" w:num="1"/>
          <w:docGrid w:type="lines" w:linePitch="312"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1"/>
        <w:rPr>
          <w:rFonts w:hint="eastAsia" w:ascii="宋体" w:hAnsi="宋体" w:eastAsia="宋体" w:cs="宋体"/>
          <w:b w:val="0"/>
          <w:bCs w:val="0"/>
          <w:color w:val="auto"/>
          <w:sz w:val="28"/>
          <w:szCs w:val="28"/>
          <w:lang w:val="zh-CN" w:eastAsia="zh-CN"/>
        </w:rPr>
      </w:pPr>
      <w:bookmarkStart w:id="89" w:name="_Toc6297"/>
      <w:bookmarkStart w:id="90" w:name="_Toc31169"/>
      <w:bookmarkStart w:id="91" w:name="_Toc16696"/>
      <w:r>
        <w:rPr>
          <w:color w:val="auto"/>
        </w:rPr>
        <w:drawing>
          <wp:anchor distT="0" distB="0" distL="114300" distR="114300" simplePos="0" relativeHeight="251670528" behindDoc="0" locked="0" layoutInCell="1" allowOverlap="1">
            <wp:simplePos x="0" y="0"/>
            <wp:positionH relativeFrom="column">
              <wp:posOffset>-55880</wp:posOffset>
            </wp:positionH>
            <wp:positionV relativeFrom="paragraph">
              <wp:posOffset>318135</wp:posOffset>
            </wp:positionV>
            <wp:extent cx="8851900" cy="5304790"/>
            <wp:effectExtent l="0" t="0" r="6350" b="10160"/>
            <wp:wrapNone/>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22"/>
                    <a:stretch>
                      <a:fillRect/>
                    </a:stretch>
                  </pic:blipFill>
                  <pic:spPr>
                    <a:xfrm>
                      <a:off x="0" y="0"/>
                      <a:ext cx="8851900" cy="5304790"/>
                    </a:xfrm>
                    <a:prstGeom prst="rect">
                      <a:avLst/>
                    </a:prstGeom>
                    <a:noFill/>
                    <a:ln>
                      <a:noFill/>
                    </a:ln>
                  </pic:spPr>
                </pic:pic>
              </a:graphicData>
            </a:graphic>
          </wp:anchor>
        </w:drawing>
      </w:r>
      <w:r>
        <w:rPr>
          <w:rFonts w:hint="eastAsia" w:ascii="宋体" w:hAnsi="宋体" w:eastAsia="宋体" w:cs="宋体"/>
          <w:b w:val="0"/>
          <w:bCs w:val="0"/>
          <w:color w:val="auto"/>
          <w:sz w:val="28"/>
          <w:szCs w:val="28"/>
          <w:lang w:val="zh-CN" w:eastAsia="zh-CN"/>
        </w:rPr>
        <w:t>附</w:t>
      </w:r>
      <w:r>
        <w:rPr>
          <w:rFonts w:hint="eastAsia" w:ascii="宋体" w:hAnsi="宋体" w:eastAsia="宋体" w:cs="宋体"/>
          <w:b w:val="0"/>
          <w:bCs w:val="0"/>
          <w:color w:val="auto"/>
          <w:sz w:val="28"/>
          <w:szCs w:val="28"/>
          <w:lang w:val="en-US" w:eastAsia="zh-CN"/>
        </w:rPr>
        <w:t>图一：</w:t>
      </w:r>
      <w:r>
        <w:rPr>
          <w:rFonts w:hint="eastAsia" w:ascii="宋体" w:hAnsi="宋体" w:eastAsia="宋体" w:cs="宋体"/>
          <w:b w:val="0"/>
          <w:bCs w:val="0"/>
          <w:color w:val="auto"/>
          <w:sz w:val="28"/>
          <w:szCs w:val="28"/>
          <w:lang w:val="zh-CN" w:eastAsia="zh-CN"/>
        </w:rPr>
        <w:t>开州区</w:t>
      </w:r>
      <w:r>
        <w:rPr>
          <w:rFonts w:hint="eastAsia" w:cs="宋体"/>
          <w:b w:val="0"/>
          <w:bCs w:val="0"/>
          <w:color w:val="auto"/>
          <w:sz w:val="28"/>
          <w:szCs w:val="28"/>
          <w:lang w:val="en-US" w:eastAsia="zh-CN"/>
        </w:rPr>
        <w:t>白水村黄金河</w:t>
      </w:r>
      <w:r>
        <w:rPr>
          <w:rFonts w:hint="eastAsia" w:cs="宋体"/>
          <w:b w:val="0"/>
          <w:bCs w:val="0"/>
          <w:color w:val="auto"/>
          <w:sz w:val="28"/>
          <w:szCs w:val="28"/>
          <w:lang w:val="zh-CN" w:eastAsia="zh-CN"/>
        </w:rPr>
        <w:t>集中式地表水饮用水水源地</w:t>
      </w:r>
      <w:r>
        <w:rPr>
          <w:rFonts w:hint="eastAsia" w:ascii="宋体" w:hAnsi="宋体" w:eastAsia="宋体" w:cs="宋体"/>
          <w:b w:val="0"/>
          <w:bCs w:val="0"/>
          <w:color w:val="auto"/>
          <w:sz w:val="28"/>
          <w:szCs w:val="28"/>
          <w:lang w:val="zh-CN" w:eastAsia="zh-CN"/>
        </w:rPr>
        <w:t>地理位置图</w:t>
      </w:r>
      <w:bookmarkEnd w:id="89"/>
      <w:bookmarkEnd w:id="90"/>
      <w:bookmarkEnd w:id="91"/>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1"/>
        <w:rPr>
          <w:rFonts w:hint="default" w:cs="宋体"/>
          <w:b w:val="0"/>
          <w:bCs w:val="0"/>
          <w:color w:val="FF0000"/>
          <w:sz w:val="28"/>
          <w:szCs w:val="28"/>
          <w:lang w:val="en-US" w:eastAsia="zh-CN"/>
        </w:rPr>
      </w:pPr>
      <w:r>
        <w:rPr>
          <w:color w:val="FF0000"/>
        </w:rPr>
        <w:br w:type="page"/>
      </w:r>
      <w:bookmarkStart w:id="92" w:name="_Toc6779"/>
      <w:r>
        <w:rPr>
          <w:rFonts w:hint="eastAsia" w:ascii="宋体" w:hAnsi="宋体" w:eastAsia="宋体" w:cs="宋体"/>
          <w:b w:val="0"/>
          <w:bCs w:val="0"/>
          <w:color w:val="auto"/>
          <w:sz w:val="28"/>
          <w:szCs w:val="28"/>
          <w:lang w:val="zh-CN" w:eastAsia="zh-CN" w:bidi="zh-CN"/>
        </w:rPr>
        <w:t>附</w:t>
      </w:r>
      <w:r>
        <w:rPr>
          <w:rFonts w:hint="eastAsia" w:ascii="宋体" w:hAnsi="宋体" w:eastAsia="宋体" w:cs="宋体"/>
          <w:b w:val="0"/>
          <w:bCs w:val="0"/>
          <w:color w:val="auto"/>
          <w:sz w:val="28"/>
          <w:szCs w:val="28"/>
          <w:lang w:val="en-US" w:eastAsia="zh-CN" w:bidi="zh-CN"/>
        </w:rPr>
        <w:t>图二：</w:t>
      </w:r>
      <w:r>
        <w:rPr>
          <w:rFonts w:hint="eastAsia" w:ascii="宋体" w:hAnsi="宋体" w:eastAsia="宋体" w:cs="宋体"/>
          <w:b w:val="0"/>
          <w:bCs w:val="0"/>
          <w:color w:val="auto"/>
          <w:sz w:val="28"/>
          <w:szCs w:val="28"/>
          <w:lang w:val="zh-CN" w:eastAsia="zh-CN" w:bidi="zh-CN"/>
        </w:rPr>
        <w:t>开州区</w:t>
      </w:r>
      <w:r>
        <w:rPr>
          <w:rFonts w:hint="eastAsia" w:cs="宋体"/>
          <w:b w:val="0"/>
          <w:bCs w:val="0"/>
          <w:color w:val="auto"/>
          <w:sz w:val="28"/>
          <w:szCs w:val="28"/>
          <w:lang w:val="en-US" w:eastAsia="zh-CN" w:bidi="zh-CN"/>
        </w:rPr>
        <w:t>白水村黄金河</w:t>
      </w:r>
      <w:r>
        <w:rPr>
          <w:rFonts w:hint="eastAsia" w:ascii="宋体" w:hAnsi="宋体" w:eastAsia="宋体" w:cs="宋体"/>
          <w:b w:val="0"/>
          <w:bCs w:val="0"/>
          <w:color w:val="auto"/>
          <w:sz w:val="28"/>
          <w:szCs w:val="28"/>
          <w:lang w:val="zh-CN" w:eastAsia="zh-CN" w:bidi="zh-CN"/>
        </w:rPr>
        <w:t>集中式地表水饮用水水源地</w:t>
      </w:r>
      <w:r>
        <w:rPr>
          <w:rFonts w:hint="eastAsia" w:ascii="宋体" w:hAnsi="宋体" w:eastAsia="宋体" w:cs="宋体"/>
          <w:b w:val="0"/>
          <w:bCs w:val="0"/>
          <w:color w:val="auto"/>
          <w:sz w:val="28"/>
          <w:szCs w:val="28"/>
          <w:lang w:val="en-US" w:eastAsia="zh-CN" w:bidi="zh-CN"/>
        </w:rPr>
        <w:t>保护区域范围图</w:t>
      </w:r>
      <w:bookmarkEnd w:id="92"/>
    </w:p>
    <w:p>
      <w:pPr>
        <w:rPr>
          <w:rFonts w:hint="eastAsia" w:eastAsia="宋体"/>
          <w:color w:val="FF0000"/>
          <w:lang w:eastAsia="zh-CN"/>
        </w:rPr>
      </w:pPr>
      <w:r>
        <w:drawing>
          <wp:anchor distT="0" distB="0" distL="114300" distR="114300" simplePos="0" relativeHeight="251671552" behindDoc="0" locked="0" layoutInCell="1" allowOverlap="1">
            <wp:simplePos x="0" y="0"/>
            <wp:positionH relativeFrom="column">
              <wp:posOffset>-55880</wp:posOffset>
            </wp:positionH>
            <wp:positionV relativeFrom="paragraph">
              <wp:posOffset>44450</wp:posOffset>
            </wp:positionV>
            <wp:extent cx="8859520" cy="4951730"/>
            <wp:effectExtent l="0" t="0" r="17780" b="1270"/>
            <wp:wrapNone/>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23"/>
                    <a:stretch>
                      <a:fillRect/>
                    </a:stretch>
                  </pic:blipFill>
                  <pic:spPr>
                    <a:xfrm>
                      <a:off x="0" y="0"/>
                      <a:ext cx="8859520" cy="4951730"/>
                    </a:xfrm>
                    <a:prstGeom prst="rect">
                      <a:avLst/>
                    </a:prstGeom>
                    <a:noFill/>
                    <a:ln>
                      <a:noFill/>
                    </a:ln>
                  </pic:spPr>
                </pic:pic>
              </a:graphicData>
            </a:graphic>
          </wp:anchor>
        </w:drawing>
      </w:r>
      <w:r>
        <w:rPr>
          <w:color w:val="FF0000"/>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1"/>
        <w:rPr>
          <w:rFonts w:hint="default" w:ascii="宋体" w:hAnsi="宋体" w:eastAsia="宋体" w:cs="宋体"/>
          <w:b w:val="0"/>
          <w:bCs w:val="0"/>
          <w:color w:val="auto"/>
          <w:sz w:val="28"/>
          <w:szCs w:val="28"/>
          <w:lang w:val="en-US" w:eastAsia="zh-CN"/>
        </w:rPr>
      </w:pPr>
      <w:bookmarkStart w:id="93" w:name="_Toc18175"/>
      <w:bookmarkStart w:id="94" w:name="_Toc22284"/>
      <w:bookmarkStart w:id="95" w:name="_Toc2325"/>
      <w:r>
        <w:rPr>
          <w:color w:val="auto"/>
        </w:rPr>
        <w:drawing>
          <wp:anchor distT="0" distB="0" distL="114300" distR="114300" simplePos="0" relativeHeight="251672576" behindDoc="0" locked="0" layoutInCell="1" allowOverlap="1">
            <wp:simplePos x="0" y="0"/>
            <wp:positionH relativeFrom="column">
              <wp:posOffset>274320</wp:posOffset>
            </wp:positionH>
            <wp:positionV relativeFrom="paragraph">
              <wp:posOffset>395605</wp:posOffset>
            </wp:positionV>
            <wp:extent cx="8230235" cy="5201920"/>
            <wp:effectExtent l="0" t="0" r="18415" b="17780"/>
            <wp:wrapNone/>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pic:cNvPicPr>
                  </pic:nvPicPr>
                  <pic:blipFill>
                    <a:blip r:embed="rId24"/>
                    <a:stretch>
                      <a:fillRect/>
                    </a:stretch>
                  </pic:blipFill>
                  <pic:spPr>
                    <a:xfrm>
                      <a:off x="0" y="0"/>
                      <a:ext cx="8230235" cy="5201920"/>
                    </a:xfrm>
                    <a:prstGeom prst="rect">
                      <a:avLst/>
                    </a:prstGeom>
                    <a:noFill/>
                    <a:ln>
                      <a:noFill/>
                    </a:ln>
                  </pic:spPr>
                </pic:pic>
              </a:graphicData>
            </a:graphic>
          </wp:anchor>
        </w:drawing>
      </w:r>
      <w:r>
        <w:rPr>
          <w:rFonts w:hint="eastAsia" w:ascii="宋体" w:hAnsi="宋体" w:eastAsia="宋体" w:cs="宋体"/>
          <w:b w:val="0"/>
          <w:bCs w:val="0"/>
          <w:color w:val="auto"/>
          <w:sz w:val="28"/>
          <w:szCs w:val="28"/>
          <w:lang w:val="en-US" w:eastAsia="zh-CN"/>
        </w:rPr>
        <w:t>附图</w:t>
      </w:r>
      <w:r>
        <w:rPr>
          <w:rFonts w:hint="eastAsia" w:cs="宋体"/>
          <w:b w:val="0"/>
          <w:bCs w:val="0"/>
          <w:color w:val="auto"/>
          <w:sz w:val="28"/>
          <w:szCs w:val="28"/>
          <w:lang w:val="en-US" w:eastAsia="zh-CN"/>
        </w:rPr>
        <w:t>三</w:t>
      </w:r>
      <w:r>
        <w:rPr>
          <w:rFonts w:hint="eastAsia" w:ascii="宋体" w:hAnsi="宋体" w:eastAsia="宋体" w:cs="宋体"/>
          <w:b w:val="0"/>
          <w:bCs w:val="0"/>
          <w:color w:val="auto"/>
          <w:sz w:val="28"/>
          <w:szCs w:val="28"/>
          <w:lang w:val="en-US" w:eastAsia="zh-CN"/>
        </w:rPr>
        <w:t>：开州区</w:t>
      </w:r>
      <w:r>
        <w:rPr>
          <w:rFonts w:hint="eastAsia" w:cs="宋体"/>
          <w:b w:val="0"/>
          <w:bCs w:val="0"/>
          <w:color w:val="auto"/>
          <w:sz w:val="28"/>
          <w:szCs w:val="28"/>
          <w:lang w:val="en-US" w:eastAsia="zh-CN"/>
        </w:rPr>
        <w:t>白水村黄金河</w:t>
      </w:r>
      <w:r>
        <w:rPr>
          <w:rFonts w:hint="eastAsia" w:ascii="宋体" w:hAnsi="宋体" w:eastAsia="宋体" w:cs="宋体"/>
          <w:b w:val="0"/>
          <w:bCs w:val="0"/>
          <w:color w:val="auto"/>
          <w:sz w:val="28"/>
          <w:szCs w:val="28"/>
          <w:lang w:val="en-US" w:eastAsia="zh-CN"/>
        </w:rPr>
        <w:t>供水区域图</w:t>
      </w:r>
      <w:bookmarkEnd w:id="93"/>
      <w:bookmarkEnd w:id="94"/>
      <w:bookmarkEnd w:id="95"/>
    </w:p>
    <w:p>
      <w:pPr>
        <w:pStyle w:val="2"/>
        <w:rPr>
          <w:rFonts w:hint="default"/>
          <w:color w:val="FF0000"/>
          <w:lang w:val="en-US" w:eastAsia="zh-CN"/>
        </w:rPr>
      </w:pPr>
    </w:p>
    <w:p>
      <w:pPr>
        <w:rPr>
          <w:rFonts w:hint="eastAsia" w:eastAsia="宋体"/>
          <w:color w:val="FF0000"/>
          <w:lang w:eastAsia="zh-CN"/>
        </w:rPr>
        <w:sectPr>
          <w:pgSz w:w="16838" w:h="11906" w:orient="landscape"/>
          <w:pgMar w:top="1800" w:right="1440" w:bottom="1800" w:left="1440" w:header="851" w:footer="992" w:gutter="0"/>
          <w:pgNumType w:fmt="decimal"/>
          <w:cols w:space="425" w:num="1"/>
          <w:docGrid w:type="lines" w:linePitch="312"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1"/>
        <w:rPr>
          <w:rFonts w:hint="default" w:cs="宋体"/>
          <w:b w:val="0"/>
          <w:bCs w:val="0"/>
          <w:color w:val="auto"/>
          <w:sz w:val="28"/>
          <w:szCs w:val="28"/>
          <w:lang w:val="en-US" w:eastAsia="zh-CN"/>
        </w:rPr>
      </w:pPr>
      <w:bookmarkStart w:id="96" w:name="_Toc11005"/>
      <w:bookmarkStart w:id="97" w:name="_Toc20510"/>
      <w:r>
        <w:rPr>
          <w:rFonts w:hint="eastAsia" w:cs="宋体"/>
          <w:b w:val="0"/>
          <w:bCs w:val="0"/>
          <w:color w:val="auto"/>
          <w:sz w:val="28"/>
          <w:szCs w:val="28"/>
          <w:lang w:val="en-US" w:eastAsia="zh-CN"/>
        </w:rPr>
        <w:t>附图四：开州区水系图</w:t>
      </w:r>
      <w:bookmarkEnd w:id="96"/>
      <w:bookmarkEnd w:id="97"/>
    </w:p>
    <w:p>
      <w:pPr>
        <w:pStyle w:val="2"/>
        <w:rPr>
          <w:rFonts w:hint="default"/>
          <w:color w:val="FF0000"/>
          <w:lang w:val="en-US" w:eastAsia="zh-CN"/>
        </w:rPr>
        <w:sectPr>
          <w:pgSz w:w="11906" w:h="16838"/>
          <w:pgMar w:top="1440" w:right="1800" w:bottom="1440" w:left="1800" w:header="851" w:footer="992" w:gutter="0"/>
          <w:pgNumType w:fmt="decimal"/>
          <w:cols w:space="425" w:num="1"/>
          <w:docGrid w:type="lines" w:linePitch="312" w:charSpace="0"/>
        </w:sectPr>
      </w:pPr>
      <w:r>
        <w:rPr>
          <w:rFonts w:hint="default"/>
          <w:color w:val="FF0000"/>
          <w:lang w:val="en-US" w:eastAsia="zh-CN"/>
        </w:rPr>
        <w:drawing>
          <wp:anchor distT="0" distB="0" distL="114300" distR="114300" simplePos="0" relativeHeight="251665408" behindDoc="1" locked="0" layoutInCell="1" allowOverlap="1">
            <wp:simplePos x="0" y="0"/>
            <wp:positionH relativeFrom="column">
              <wp:posOffset>-444500</wp:posOffset>
            </wp:positionH>
            <wp:positionV relativeFrom="paragraph">
              <wp:posOffset>31115</wp:posOffset>
            </wp:positionV>
            <wp:extent cx="6400800" cy="8075295"/>
            <wp:effectExtent l="0" t="0" r="0" b="1905"/>
            <wp:wrapNone/>
            <wp:docPr id="7" name="图片 7" descr="开州区水系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开州区水系图"/>
                    <pic:cNvPicPr>
                      <a:picLocks noChangeAspect="1"/>
                    </pic:cNvPicPr>
                  </pic:nvPicPr>
                  <pic:blipFill>
                    <a:blip r:embed="rId25"/>
                    <a:stretch>
                      <a:fillRect/>
                    </a:stretch>
                  </pic:blipFill>
                  <pic:spPr>
                    <a:xfrm>
                      <a:off x="0" y="0"/>
                      <a:ext cx="6400800" cy="8075295"/>
                    </a:xfrm>
                    <a:prstGeom prst="rect">
                      <a:avLst/>
                    </a:prstGeom>
                  </pic:spPr>
                </pic:pic>
              </a:graphicData>
            </a:graphic>
          </wp:anchor>
        </w:drawing>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1"/>
        <w:rPr>
          <w:rFonts w:hint="default" w:cs="宋体"/>
          <w:b w:val="0"/>
          <w:bCs w:val="0"/>
          <w:color w:val="auto"/>
          <w:sz w:val="28"/>
          <w:szCs w:val="28"/>
          <w:lang w:val="en-US" w:eastAsia="zh-CN"/>
        </w:rPr>
      </w:pPr>
      <w:bookmarkStart w:id="98" w:name="_Toc10794"/>
      <w:bookmarkStart w:id="99" w:name="_Toc9662"/>
      <w:r>
        <w:rPr>
          <w:rFonts w:hint="eastAsia" w:cs="宋体"/>
          <w:b w:val="0"/>
          <w:bCs w:val="0"/>
          <w:color w:val="auto"/>
          <w:sz w:val="28"/>
          <w:szCs w:val="28"/>
          <w:lang w:val="en-US" w:eastAsia="zh-CN"/>
        </w:rPr>
        <w:t>附图五：开州区地图</w:t>
      </w:r>
      <w:bookmarkEnd w:id="98"/>
      <w:bookmarkEnd w:id="99"/>
    </w:p>
    <w:p>
      <w:pPr>
        <w:pStyle w:val="2"/>
        <w:rPr>
          <w:rFonts w:hint="default"/>
          <w:color w:val="FF0000"/>
          <w:lang w:val="en-US" w:eastAsia="zh-CN"/>
        </w:rPr>
      </w:pPr>
      <w:r>
        <w:rPr>
          <w:rFonts w:hint="default"/>
          <w:color w:val="FF0000"/>
          <w:lang w:val="en-US" w:eastAsia="zh-CN"/>
        </w:rPr>
        <w:drawing>
          <wp:anchor distT="0" distB="0" distL="114300" distR="114300" simplePos="0" relativeHeight="251665408" behindDoc="1" locked="0" layoutInCell="1" allowOverlap="1">
            <wp:simplePos x="0" y="0"/>
            <wp:positionH relativeFrom="column">
              <wp:posOffset>-558800</wp:posOffset>
            </wp:positionH>
            <wp:positionV relativeFrom="paragraph">
              <wp:posOffset>94615</wp:posOffset>
            </wp:positionV>
            <wp:extent cx="6563360" cy="8281035"/>
            <wp:effectExtent l="0" t="0" r="8890" b="5715"/>
            <wp:wrapNone/>
            <wp:docPr id="6" name="图片 6" descr="开州区地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开州区地图"/>
                    <pic:cNvPicPr>
                      <a:picLocks noChangeAspect="1"/>
                    </pic:cNvPicPr>
                  </pic:nvPicPr>
                  <pic:blipFill>
                    <a:blip r:embed="rId26"/>
                    <a:stretch>
                      <a:fillRect/>
                    </a:stretch>
                  </pic:blipFill>
                  <pic:spPr>
                    <a:xfrm>
                      <a:off x="0" y="0"/>
                      <a:ext cx="6563360" cy="8281035"/>
                    </a:xfrm>
                    <a:prstGeom prst="rect">
                      <a:avLst/>
                    </a:prstGeom>
                  </pic:spPr>
                </pic:pic>
              </a:graphicData>
            </a:graphic>
          </wp:anchor>
        </w:drawing>
      </w:r>
    </w:p>
    <w:p>
      <w:pPr>
        <w:pStyle w:val="2"/>
        <w:rPr>
          <w:rFonts w:hint="eastAsia"/>
          <w:color w:val="FF0000"/>
          <w:lang w:eastAsia="zh-CN"/>
        </w:rPr>
      </w:pPr>
    </w:p>
    <w:p>
      <w:pPr>
        <w:pStyle w:val="2"/>
        <w:rPr>
          <w:rFonts w:hint="default"/>
          <w:color w:val="FF0000"/>
          <w:lang w:val="en-US" w:eastAsia="zh-CN"/>
        </w:rPr>
      </w:pP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FF0000"/>
          <w:sz w:val="28"/>
          <w:szCs w:val="28"/>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17"/>
        <w:rFonts w:hint="eastAsia"/>
      </w:rPr>
    </w:pPr>
    <w:r>
      <w:fldChar w:fldCharType="begin"/>
    </w:r>
    <w:r>
      <w:rPr>
        <w:rStyle w:val="17"/>
      </w:rPr>
      <w:instrText xml:space="preserve">PAGE  </w:instrText>
    </w:r>
    <w:r>
      <w:fldChar w:fldCharType="end"/>
    </w:r>
  </w:p>
  <w:p>
    <w:pPr>
      <w:pStyle w:val="9"/>
      <w:ind w:right="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fldChar w:fldCharType="begin"/>
    </w:r>
    <w:r>
      <w:instrText xml:space="preserve"> PAGE   \* MERGEFORMAT </w:instrText>
    </w:r>
    <w:r>
      <w:fldChar w:fldCharType="separate"/>
    </w:r>
    <w:r>
      <w:rPr>
        <w:rFonts w:hint="eastAsia"/>
        <w:lang w:val="zh-CN"/>
      </w:rPr>
      <w:t>52</w:t>
    </w:r>
    <w:r>
      <w:rPr>
        <w:rFonts w:hint="eastAsia"/>
        <w:lang w:val="zh-CN"/>
      </w:rPr>
      <w:fldChar w:fldCharType="end"/>
    </w:r>
  </w:p>
  <w:p>
    <w:pPr>
      <w:pStyle w:val="9"/>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jc w:val="center"/>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default"/>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hLPQ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q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bhLPQzAgAAYwQAAA4AAAAAAAAAAQAgAAAAHwEAAGRycy9lMm9Eb2MueG1sUEsF&#10;BgAAAAAGAAYAWQEAAMQFA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hint="eastAsia"/>
      </w:rPr>
    </w:pPr>
    <w:r>
      <w:rPr>
        <w:rFonts w:hint="eastAsia"/>
        <w:lang w:eastAsia="zh-CN"/>
      </w:rPr>
      <w:t>重庆市开州区白水村黄金河</w:t>
    </w:r>
    <w:r>
      <w:rPr>
        <w:rFonts w:hint="eastAsia"/>
        <w:lang w:val="en-US" w:eastAsia="zh-CN"/>
      </w:rPr>
      <w:t>饮用水水源地</w:t>
    </w:r>
    <w:r>
      <w:rPr>
        <w:rFonts w:hint="eastAsia"/>
      </w:rPr>
      <w:t>突发环境事件</w:t>
    </w:r>
    <w:r>
      <w:rPr>
        <w:rFonts w:hint="eastAsia"/>
        <w:lang w:eastAsia="zh-CN"/>
      </w:rPr>
      <w:t>应急预案</w:t>
    </w:r>
    <w:r>
      <w:rPr>
        <w:rFonts w:hint="eastAsia"/>
      </w:rPr>
      <w:t>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重庆市开州区白水村黄金河</w:t>
    </w:r>
    <w:r>
      <w:rPr>
        <w:rFonts w:hint="eastAsia"/>
        <w:lang w:val="en-US" w:eastAsia="zh-CN"/>
      </w:rPr>
      <w:t>饮用水水源地</w:t>
    </w:r>
    <w:r>
      <w:rPr>
        <w:rFonts w:hint="eastAsia"/>
      </w:rPr>
      <w:t>突发环境事件</w:t>
    </w:r>
    <w:r>
      <w:rPr>
        <w:rFonts w:hint="eastAsia"/>
        <w:lang w:eastAsia="zh-CN"/>
      </w:rPr>
      <w:t>应急预案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C88AC2"/>
    <w:multiLevelType w:val="singleLevel"/>
    <w:tmpl w:val="ACC88AC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11771"/>
    <w:rsid w:val="045B4FDC"/>
    <w:rsid w:val="071E1B2B"/>
    <w:rsid w:val="087C10E8"/>
    <w:rsid w:val="09C4425A"/>
    <w:rsid w:val="0B473B80"/>
    <w:rsid w:val="0FC440EE"/>
    <w:rsid w:val="10107C46"/>
    <w:rsid w:val="134F6938"/>
    <w:rsid w:val="14E85C01"/>
    <w:rsid w:val="19F914D6"/>
    <w:rsid w:val="1A0429D9"/>
    <w:rsid w:val="1DCD087D"/>
    <w:rsid w:val="1DD1058D"/>
    <w:rsid w:val="1E0E1351"/>
    <w:rsid w:val="1E45226A"/>
    <w:rsid w:val="1FD03911"/>
    <w:rsid w:val="23A25E6B"/>
    <w:rsid w:val="23B079CB"/>
    <w:rsid w:val="254E166E"/>
    <w:rsid w:val="25F827E4"/>
    <w:rsid w:val="27F27A82"/>
    <w:rsid w:val="2992005D"/>
    <w:rsid w:val="29CE5B7E"/>
    <w:rsid w:val="2C6B3B37"/>
    <w:rsid w:val="2C9B35D7"/>
    <w:rsid w:val="2FE17238"/>
    <w:rsid w:val="31600F4A"/>
    <w:rsid w:val="31FC360E"/>
    <w:rsid w:val="32F66D7A"/>
    <w:rsid w:val="337B19E2"/>
    <w:rsid w:val="3A061F28"/>
    <w:rsid w:val="3B3B3935"/>
    <w:rsid w:val="3DBA0AA1"/>
    <w:rsid w:val="3F3845AA"/>
    <w:rsid w:val="418E0B5A"/>
    <w:rsid w:val="45F7311F"/>
    <w:rsid w:val="45FC2A51"/>
    <w:rsid w:val="47BC0206"/>
    <w:rsid w:val="49E9678D"/>
    <w:rsid w:val="4E0917A4"/>
    <w:rsid w:val="4F3A6426"/>
    <w:rsid w:val="50FC3F54"/>
    <w:rsid w:val="55F87B8C"/>
    <w:rsid w:val="5A363FEF"/>
    <w:rsid w:val="5D7D69B0"/>
    <w:rsid w:val="5E173233"/>
    <w:rsid w:val="5EB56B05"/>
    <w:rsid w:val="69241527"/>
    <w:rsid w:val="6A9665A8"/>
    <w:rsid w:val="6AEA341C"/>
    <w:rsid w:val="71FE42A5"/>
    <w:rsid w:val="740112B6"/>
    <w:rsid w:val="75BC1BEF"/>
    <w:rsid w:val="76B7003D"/>
    <w:rsid w:val="76C92C35"/>
    <w:rsid w:val="781B478C"/>
    <w:rsid w:val="7D037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qFormat/>
    <w:uiPriority w:val="0"/>
    <w:pPr>
      <w:widowControl/>
      <w:spacing w:before="100" w:beforeAutospacing="1" w:after="100" w:afterAutospacing="1"/>
      <w:jc w:val="left"/>
      <w:outlineLvl w:val="2"/>
    </w:pPr>
    <w:rPr>
      <w:rFonts w:ascii="宋体" w:hAnsi="宋体"/>
      <w:b/>
      <w:bCs/>
      <w:color w:val="272672"/>
      <w:kern w:val="0"/>
      <w:sz w:val="23"/>
      <w:szCs w:val="23"/>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7">
    <w:name w:val="Normal Indent"/>
    <w:basedOn w:val="1"/>
    <w:unhideWhenUsed/>
    <w:qFormat/>
    <w:uiPriority w:val="99"/>
    <w:pPr>
      <w:ind w:firstLine="420" w:firstLineChars="200"/>
    </w:pPr>
  </w:style>
  <w:style w:type="paragraph" w:styleId="8">
    <w:name w:val="Body Text"/>
    <w:basedOn w:val="1"/>
    <w:qFormat/>
    <w:uiPriority w:val="1"/>
    <w:pPr>
      <w:ind w:left="151"/>
    </w:pPr>
    <w:rPr>
      <w:rFonts w:ascii="宋体" w:hAnsi="宋体" w:eastAsia="宋体" w:cs="宋体"/>
      <w:sz w:val="32"/>
      <w:szCs w:val="32"/>
      <w:lang w:val="zh-CN" w:eastAsia="zh-CN" w:bidi="zh-CN"/>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paragraph" w:styleId="13">
    <w:name w:val="Normal (Web)"/>
    <w:basedOn w:val="1"/>
    <w:qFormat/>
    <w:uiPriority w:val="99"/>
    <w:pPr>
      <w:widowControl/>
      <w:spacing w:before="100" w:beforeAutospacing="1" w:after="100" w:afterAutospacing="1"/>
      <w:jc w:val="left"/>
    </w:pPr>
    <w:rPr>
      <w:rFonts w:ascii="宋体" w:hAnsi="宋体" w:cs="宋体"/>
      <w:color w:val="000000"/>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WPSOffice手动目录 1"/>
    <w:qFormat/>
    <w:uiPriority w:val="0"/>
    <w:rPr>
      <w:rFonts w:ascii="Times New Roman" w:hAnsi="Times New Roman" w:eastAsia="宋体" w:cs="Times New Roman"/>
      <w:lang w:val="en-US" w:eastAsia="zh-CN" w:bidi="ar-SA"/>
    </w:rPr>
  </w:style>
  <w:style w:type="paragraph" w:customStyle="1" w:styleId="19">
    <w:name w:val="环境预案正文"/>
    <w:basedOn w:val="1"/>
    <w:qFormat/>
    <w:uiPriority w:val="0"/>
    <w:pPr>
      <w:tabs>
        <w:tab w:val="left" w:pos="4540"/>
      </w:tabs>
      <w:ind w:firstLine="200" w:firstLineChars="200"/>
    </w:pPr>
    <w:rPr>
      <w:rFonts w:eastAsia="仿宋_GB2312" w:cs="宋体"/>
      <w:sz w:val="28"/>
    </w:rPr>
  </w:style>
  <w:style w:type="paragraph" w:customStyle="1" w:styleId="20">
    <w:name w:val="_Style 1"/>
    <w:basedOn w:val="1"/>
    <w:qFormat/>
    <w:uiPriority w:val="34"/>
    <w:pPr>
      <w:spacing w:line="360" w:lineRule="auto"/>
      <w:ind w:firstLine="420" w:firstLineChars="200"/>
    </w:pPr>
  </w:style>
  <w:style w:type="paragraph" w:customStyle="1" w:styleId="21">
    <w:name w:val="表格"/>
    <w:basedOn w:val="1"/>
    <w:next w:val="1"/>
    <w:qFormat/>
    <w:uiPriority w:val="0"/>
    <w:pPr>
      <w:jc w:val="center"/>
    </w:pPr>
    <w:rPr>
      <w:sz w:val="24"/>
    </w:rPr>
  </w:style>
  <w:style w:type="paragraph" w:customStyle="1" w:styleId="22">
    <w:name w:val="01正文"/>
    <w:basedOn w:val="1"/>
    <w:qFormat/>
    <w:uiPriority w:val="0"/>
    <w:pPr>
      <w:adjustRightInd w:val="0"/>
      <w:snapToGrid w:val="0"/>
      <w:spacing w:line="480" w:lineRule="exact"/>
      <w:ind w:firstLine="520" w:firstLineChars="200"/>
    </w:pPr>
    <w:rPr>
      <w:sz w:val="26"/>
      <w:szCs w:val="26"/>
    </w:rPr>
  </w:style>
  <w:style w:type="paragraph" w:customStyle="1" w:styleId="23">
    <w:name w:val="03表格文字"/>
    <w:basedOn w:val="22"/>
    <w:qFormat/>
    <w:uiPriority w:val="0"/>
    <w:pPr>
      <w:adjustRightInd w:val="0"/>
      <w:snapToGrid w:val="0"/>
      <w:spacing w:line="360" w:lineRule="exact"/>
      <w:jc w:val="center"/>
    </w:pPr>
    <w:rPr>
      <w:sz w:val="22"/>
      <w:szCs w:val="22"/>
    </w:rPr>
  </w:style>
  <w:style w:type="paragraph" w:customStyle="1" w:styleId="24">
    <w:name w:val="报告 标题 2级"/>
    <w:basedOn w:val="1"/>
    <w:next w:val="25"/>
    <w:qFormat/>
    <w:uiPriority w:val="0"/>
    <w:pPr>
      <w:adjustRightInd w:val="0"/>
      <w:snapToGrid w:val="0"/>
      <w:spacing w:line="360" w:lineRule="auto"/>
      <w:jc w:val="left"/>
      <w:outlineLvl w:val="1"/>
    </w:pPr>
    <w:rPr>
      <w:rFonts w:eastAsia="Times New Roman"/>
      <w:b/>
      <w:sz w:val="32"/>
    </w:rPr>
  </w:style>
  <w:style w:type="paragraph" w:customStyle="1" w:styleId="25">
    <w:name w:val="报告 正文"/>
    <w:basedOn w:val="1"/>
    <w:qFormat/>
    <w:uiPriority w:val="0"/>
    <w:pPr>
      <w:adjustRightInd w:val="0"/>
      <w:snapToGrid w:val="0"/>
      <w:spacing w:line="360" w:lineRule="auto"/>
      <w:ind w:firstLine="200" w:firstLineChars="200"/>
    </w:pPr>
    <w:rPr>
      <w:rFonts w:eastAsia="Times New Roman"/>
      <w:sz w:val="24"/>
    </w:rPr>
  </w:style>
  <w:style w:type="paragraph" w:customStyle="1" w:styleId="26">
    <w:name w:val="报告 表名、表头、图名"/>
    <w:basedOn w:val="1"/>
    <w:qFormat/>
    <w:uiPriority w:val="0"/>
    <w:pPr>
      <w:adjustRightInd w:val="0"/>
      <w:snapToGrid w:val="0"/>
      <w:jc w:val="center"/>
    </w:pPr>
    <w:rPr>
      <w:rFonts w:eastAsia="Times New Roman"/>
      <w:b/>
      <w:sz w:val="21"/>
      <w:szCs w:val="21"/>
    </w:rPr>
  </w:style>
  <w:style w:type="paragraph" w:customStyle="1" w:styleId="27">
    <w:name w:val="报告 表中文字"/>
    <w:basedOn w:val="1"/>
    <w:qFormat/>
    <w:uiPriority w:val="0"/>
    <w:pPr>
      <w:adjustRightInd w:val="0"/>
      <w:snapToGrid w:val="0"/>
      <w:jc w:val="center"/>
    </w:pPr>
    <w:rPr>
      <w:rFonts w:eastAsia="Times New Roman"/>
      <w:sz w:val="21"/>
    </w:rPr>
  </w:style>
  <w:style w:type="paragraph" w:customStyle="1" w:styleId="28">
    <w:name w:val="3级标题201695"/>
    <w:basedOn w:val="29"/>
    <w:qFormat/>
    <w:uiPriority w:val="0"/>
    <w:rPr>
      <w:rFonts w:ascii="Times New Roman" w:hAnsi="Times New Roman" w:eastAsia="宋体"/>
      <w:b/>
      <w:kern w:val="0"/>
      <w:sz w:val="28"/>
      <w:szCs w:val="20"/>
    </w:rPr>
  </w:style>
  <w:style w:type="paragraph" w:customStyle="1" w:styleId="29">
    <w:name w:val="2级标题201695"/>
    <w:basedOn w:val="30"/>
    <w:qFormat/>
    <w:uiPriority w:val="0"/>
    <w:rPr>
      <w:sz w:val="30"/>
    </w:rPr>
  </w:style>
  <w:style w:type="paragraph" w:customStyle="1" w:styleId="30">
    <w:name w:val="一级标题201695"/>
    <w:basedOn w:val="1"/>
    <w:qFormat/>
    <w:uiPriority w:val="0"/>
    <w:pPr>
      <w:spacing w:line="360" w:lineRule="auto"/>
      <w:jc w:val="left"/>
    </w:pPr>
    <w:rPr>
      <w:rFonts w:eastAsia="黑体"/>
      <w:sz w:val="32"/>
    </w:rPr>
  </w:style>
  <w:style w:type="paragraph" w:styleId="31">
    <w:name w:val="List Paragraph"/>
    <w:basedOn w:val="1"/>
    <w:qFormat/>
    <w:uiPriority w:val="1"/>
    <w:pPr>
      <w:spacing w:before="168"/>
      <w:ind w:left="151" w:firstLine="631"/>
    </w:pPr>
    <w:rPr>
      <w:rFonts w:ascii="宋体" w:hAnsi="宋体" w:eastAsia="宋体" w:cs="宋体"/>
      <w:lang w:val="zh-CN" w:eastAsia="zh-CN" w:bidi="zh-CN"/>
    </w:rPr>
  </w:style>
  <w:style w:type="paragraph" w:customStyle="1" w:styleId="32">
    <w:name w:val="Table Paragraph"/>
    <w:basedOn w:val="1"/>
    <w:qFormat/>
    <w:uiPriority w:val="1"/>
    <w:pPr>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2.jpeg"/><Relationship Id="rId25" Type="http://schemas.openxmlformats.org/officeDocument/2006/relationships/image" Target="media/image11.jpeg"/><Relationship Id="rId24" Type="http://schemas.openxmlformats.org/officeDocument/2006/relationships/image" Target="media/image10.png"/><Relationship Id="rId23" Type="http://schemas.openxmlformats.org/officeDocument/2006/relationships/image" Target="media/image9.png"/><Relationship Id="rId22" Type="http://schemas.openxmlformats.org/officeDocument/2006/relationships/image" Target="media/image8.png"/><Relationship Id="rId21" Type="http://schemas.openxmlformats.org/officeDocument/2006/relationships/image" Target="media/image7.jpeg"/><Relationship Id="rId20" Type="http://schemas.openxmlformats.org/officeDocument/2006/relationships/image" Target="media/image6.jpeg"/><Relationship Id="rId2" Type="http://schemas.openxmlformats.org/officeDocument/2006/relationships/settings" Target="settings.xml"/><Relationship Id="rId19" Type="http://schemas.openxmlformats.org/officeDocument/2006/relationships/image" Target="media/image5.jpeg"/><Relationship Id="rId18" Type="http://schemas.openxmlformats.org/officeDocument/2006/relationships/image" Target="media/image4.jpeg"/><Relationship Id="rId17" Type="http://schemas.openxmlformats.org/officeDocument/2006/relationships/image" Target="media/image3.jpeg"/><Relationship Id="rId16" Type="http://schemas.openxmlformats.org/officeDocument/2006/relationships/image" Target="media/image2.jpeg"/><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2020-09-25T01:23:00Z</dcterms:created>
  <dc:creator>Administrator</dc:creator>
  <cp:lastModifiedBy>凝结、那段爱</cp:lastModifiedBy>
  <dcterms:modified xsi:type="dcterms:W3CDTF">2022-02-24T01:38:36Z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748CB6BD38584E339B695CFD465594DF</vt:lpwstr>
  </property>
</Properties>
</file>